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10460"/>
      </w:tblGrid>
      <w:tr w:rsidR="00A13A45" w:rsidRPr="00A13A45" w:rsidTr="00A13A45">
        <w:tc>
          <w:tcPr>
            <w:tcW w:w="5000" w:type="pct"/>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150" w:after="150" w:line="240" w:lineRule="auto"/>
              <w:ind w:left="450" w:right="450"/>
              <w:jc w:val="center"/>
              <w:rPr>
                <w:rFonts w:ascii="Times New Roman" w:eastAsia="Times New Roman" w:hAnsi="Times New Roman" w:cs="Times New Roman"/>
                <w:sz w:val="24"/>
                <w:szCs w:val="24"/>
                <w:lang w:eastAsia="ru-RU"/>
              </w:rPr>
            </w:pPr>
            <w:r w:rsidRPr="00A13A45">
              <w:rPr>
                <w:rFonts w:ascii="Times New Roman" w:eastAsia="Times New Roman" w:hAnsi="Times New Roman" w:cs="Times New Roman"/>
                <w:noProof/>
                <w:sz w:val="24"/>
                <w:szCs w:val="24"/>
                <w:lang w:eastAsia="ru-RU"/>
              </w:rPr>
              <w:drawing>
                <wp:inline distT="0" distB="0" distL="0" distR="0">
                  <wp:extent cx="571500" cy="762000"/>
                  <wp:effectExtent l="0" t="0" r="0" b="0"/>
                  <wp:docPr id="4" name="Рисунок 4"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13A45" w:rsidRPr="00A13A45" w:rsidTr="00A13A45">
        <w:tc>
          <w:tcPr>
            <w:tcW w:w="5000" w:type="pct"/>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300" w:after="0" w:line="240" w:lineRule="auto"/>
              <w:ind w:left="450" w:right="450"/>
              <w:jc w:val="center"/>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32"/>
                <w:szCs w:val="32"/>
                <w:lang w:eastAsia="ru-RU"/>
              </w:rPr>
              <w:t>КАБІНЕТ МІНІСТРІВ УКРАЇНИ</w:t>
            </w:r>
            <w:r w:rsidRPr="00A13A45">
              <w:rPr>
                <w:rFonts w:ascii="Times New Roman" w:eastAsia="Times New Roman" w:hAnsi="Times New Roman" w:cs="Times New Roman"/>
                <w:sz w:val="24"/>
                <w:szCs w:val="24"/>
                <w:lang w:eastAsia="ru-RU"/>
              </w:rPr>
              <w:br/>
            </w:r>
            <w:r w:rsidRPr="00A13A45">
              <w:rPr>
                <w:rFonts w:ascii="Times New Roman" w:eastAsia="Times New Roman" w:hAnsi="Times New Roman" w:cs="Times New Roman"/>
                <w:b/>
                <w:bCs/>
                <w:sz w:val="36"/>
                <w:szCs w:val="36"/>
                <w:lang w:eastAsia="ru-RU"/>
              </w:rPr>
              <w:t>ПОСТАНОВА</w:t>
            </w:r>
          </w:p>
        </w:tc>
      </w:tr>
      <w:tr w:rsidR="00A13A45" w:rsidRPr="00A13A45" w:rsidTr="00A13A45">
        <w:tc>
          <w:tcPr>
            <w:tcW w:w="5000" w:type="pct"/>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150" w:after="150" w:line="240" w:lineRule="auto"/>
              <w:ind w:left="450" w:right="450"/>
              <w:jc w:val="center"/>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24"/>
                <w:szCs w:val="24"/>
                <w:lang w:eastAsia="ru-RU"/>
              </w:rPr>
              <w:t>від 24 червня 2022 р. № 737</w:t>
            </w:r>
            <w:r w:rsidRPr="00A13A45">
              <w:rPr>
                <w:rFonts w:ascii="Times New Roman" w:eastAsia="Times New Roman" w:hAnsi="Times New Roman" w:cs="Times New Roman"/>
                <w:sz w:val="24"/>
                <w:szCs w:val="24"/>
                <w:lang w:eastAsia="ru-RU"/>
              </w:rPr>
              <w:br/>
            </w:r>
            <w:r w:rsidRPr="00A13A45">
              <w:rPr>
                <w:rFonts w:ascii="Times New Roman" w:eastAsia="Times New Roman" w:hAnsi="Times New Roman" w:cs="Times New Roman"/>
                <w:b/>
                <w:bCs/>
                <w:sz w:val="24"/>
                <w:szCs w:val="24"/>
                <w:lang w:eastAsia="ru-RU"/>
              </w:rPr>
              <w:t>Київ</w:t>
            </w:r>
          </w:p>
        </w:tc>
      </w:tr>
    </w:tbl>
    <w:p w:rsidR="00A13A45" w:rsidRPr="00A13A45" w:rsidRDefault="00A13A45" w:rsidP="00A13A4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A13A45">
        <w:rPr>
          <w:rFonts w:ascii="Times New Roman" w:eastAsia="Times New Roman" w:hAnsi="Times New Roman" w:cs="Times New Roman"/>
          <w:b/>
          <w:bCs/>
          <w:color w:val="333333"/>
          <w:sz w:val="32"/>
          <w:szCs w:val="32"/>
          <w:lang w:eastAsia="ru-RU"/>
        </w:rPr>
        <w:t>Про реалізацію експерименту з організації навчання осіб за освітніми програмами у сфері інформаційних технологій “Старт в ІТ”</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4"/>
      <w:bookmarkEnd w:id="1"/>
      <w:r w:rsidRPr="00A13A45">
        <w:rPr>
          <w:rFonts w:ascii="Times New Roman" w:eastAsia="Times New Roman" w:hAnsi="Times New Roman" w:cs="Times New Roman"/>
          <w:color w:val="333333"/>
          <w:sz w:val="24"/>
          <w:szCs w:val="24"/>
          <w:lang w:eastAsia="ru-RU"/>
        </w:rPr>
        <w:t>Кабінет Міністрів України </w:t>
      </w:r>
      <w:r w:rsidRPr="00A13A45">
        <w:rPr>
          <w:rFonts w:ascii="Times New Roman" w:eastAsia="Times New Roman" w:hAnsi="Times New Roman" w:cs="Times New Roman"/>
          <w:b/>
          <w:bCs/>
          <w:color w:val="333333"/>
          <w:spacing w:val="30"/>
          <w:sz w:val="24"/>
          <w:szCs w:val="24"/>
          <w:lang w:eastAsia="ru-RU"/>
        </w:rPr>
        <w:t>постановляє:</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A13A45">
        <w:rPr>
          <w:rFonts w:ascii="Times New Roman" w:eastAsia="Times New Roman" w:hAnsi="Times New Roman" w:cs="Times New Roman"/>
          <w:color w:val="333333"/>
          <w:sz w:val="24"/>
          <w:szCs w:val="24"/>
          <w:lang w:eastAsia="ru-RU"/>
        </w:rPr>
        <w:t>1. Погодитися з пропозицією Міністерства економіки, Міністерства цифрової трансформації, Державного центру зайнятості щодо реалізації у 2022 році експерименту з організації навчання осіб за освітніми програмами у сфері інформаційних технологій “Старт в ІТ” (далі - експеримент).</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
      <w:bookmarkEnd w:id="3"/>
      <w:r w:rsidRPr="00A13A45">
        <w:rPr>
          <w:rFonts w:ascii="Times New Roman" w:eastAsia="Times New Roman" w:hAnsi="Times New Roman" w:cs="Times New Roman"/>
          <w:color w:val="333333"/>
          <w:sz w:val="24"/>
          <w:szCs w:val="24"/>
          <w:lang w:eastAsia="ru-RU"/>
        </w:rPr>
        <w:t>2. Затвердити </w:t>
      </w:r>
      <w:hyperlink r:id="rId5" w:anchor="n11" w:history="1">
        <w:r w:rsidRPr="00A13A45">
          <w:rPr>
            <w:rFonts w:ascii="Times New Roman" w:eastAsia="Times New Roman" w:hAnsi="Times New Roman" w:cs="Times New Roman"/>
            <w:color w:val="0000FF"/>
            <w:sz w:val="24"/>
            <w:szCs w:val="24"/>
            <w:u w:val="single"/>
            <w:lang w:eastAsia="ru-RU"/>
          </w:rPr>
          <w:t>Порядок реалізації експерименту з організації навчання осіб за освітніми програмами у сфері інформаційних технологій “Старт в ІТ”</w:t>
        </w:r>
      </w:hyperlink>
      <w:r w:rsidRPr="00A13A45">
        <w:rPr>
          <w:rFonts w:ascii="Times New Roman" w:eastAsia="Times New Roman" w:hAnsi="Times New Roman" w:cs="Times New Roman"/>
          <w:color w:val="333333"/>
          <w:sz w:val="24"/>
          <w:szCs w:val="24"/>
          <w:lang w:eastAsia="ru-RU"/>
        </w:rPr>
        <w:t>, що додається.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7"/>
      <w:bookmarkEnd w:id="4"/>
      <w:r w:rsidRPr="00A13A45">
        <w:rPr>
          <w:rFonts w:ascii="Times New Roman" w:eastAsia="Times New Roman" w:hAnsi="Times New Roman" w:cs="Times New Roman"/>
          <w:color w:val="333333"/>
          <w:sz w:val="24"/>
          <w:szCs w:val="24"/>
          <w:lang w:eastAsia="ru-RU"/>
        </w:rPr>
        <w:t>3. Міністерству культури та інформаційної політики забезпечити поширення інформації про можливість навчання осіб за освітніми програмами у сфері інформаційних технологій “Старт в ІТ” на всій території України.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8"/>
      <w:bookmarkEnd w:id="5"/>
      <w:r w:rsidRPr="00A13A45">
        <w:rPr>
          <w:rFonts w:ascii="Times New Roman" w:eastAsia="Times New Roman" w:hAnsi="Times New Roman" w:cs="Times New Roman"/>
          <w:color w:val="333333"/>
          <w:sz w:val="24"/>
          <w:szCs w:val="24"/>
          <w:lang w:eastAsia="ru-RU"/>
        </w:rPr>
        <w:t>4. Міністерству економіки, Міністерству цифрової трансформації за участю Державного центру зайнятості протягом двох місяців після завершення експерименту подати Кабінетові Міністрів України звіт про результати його реалізації.</w:t>
      </w:r>
    </w:p>
    <w:tbl>
      <w:tblPr>
        <w:tblW w:w="5000" w:type="pct"/>
        <w:tblCellMar>
          <w:left w:w="0" w:type="dxa"/>
          <w:right w:w="0" w:type="dxa"/>
        </w:tblCellMar>
        <w:tblLook w:val="04A0" w:firstRow="1" w:lastRow="0" w:firstColumn="1" w:lastColumn="0" w:noHBand="0" w:noVBand="1"/>
      </w:tblPr>
      <w:tblGrid>
        <w:gridCol w:w="3138"/>
        <w:gridCol w:w="1046"/>
        <w:gridCol w:w="6276"/>
      </w:tblGrid>
      <w:tr w:rsidR="00A13A45" w:rsidRPr="00A13A45" w:rsidTr="00A13A45">
        <w:tc>
          <w:tcPr>
            <w:tcW w:w="1500" w:type="pct"/>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300" w:after="150" w:line="240" w:lineRule="auto"/>
              <w:jc w:val="center"/>
              <w:rPr>
                <w:rFonts w:ascii="Times New Roman" w:eastAsia="Times New Roman" w:hAnsi="Times New Roman" w:cs="Times New Roman"/>
                <w:sz w:val="24"/>
                <w:szCs w:val="24"/>
                <w:lang w:eastAsia="ru-RU"/>
              </w:rPr>
            </w:pPr>
            <w:bookmarkStart w:id="6" w:name="n9"/>
            <w:bookmarkEnd w:id="6"/>
            <w:r w:rsidRPr="00A13A45">
              <w:rPr>
                <w:rFonts w:ascii="Times New Roman" w:eastAsia="Times New Roman" w:hAnsi="Times New Roman" w:cs="Times New Roman"/>
                <w:b/>
                <w:bCs/>
                <w:sz w:val="24"/>
                <w:szCs w:val="24"/>
                <w:lang w:eastAsia="ru-RU"/>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300" w:after="0" w:line="240" w:lineRule="auto"/>
              <w:jc w:val="right"/>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24"/>
                <w:szCs w:val="24"/>
                <w:lang w:eastAsia="ru-RU"/>
              </w:rPr>
              <w:t>Д. ШМИГАЛЬ</w:t>
            </w:r>
          </w:p>
        </w:tc>
      </w:tr>
      <w:tr w:rsidR="00A13A45" w:rsidRPr="00A13A45" w:rsidTr="00A13A45">
        <w:tc>
          <w:tcPr>
            <w:tcW w:w="0" w:type="auto"/>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300" w:after="150" w:line="240" w:lineRule="auto"/>
              <w:jc w:val="center"/>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24"/>
                <w:szCs w:val="24"/>
                <w:lang w:eastAsia="ru-RU"/>
              </w:rPr>
              <w:t>Інд. 49</w:t>
            </w:r>
          </w:p>
        </w:tc>
        <w:tc>
          <w:tcPr>
            <w:tcW w:w="0" w:type="auto"/>
            <w:gridSpan w:val="2"/>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300" w:after="0" w:line="240" w:lineRule="auto"/>
              <w:jc w:val="right"/>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24"/>
                <w:szCs w:val="24"/>
                <w:lang w:eastAsia="ru-RU"/>
              </w:rPr>
              <w:br/>
            </w:r>
          </w:p>
        </w:tc>
      </w:tr>
      <w:tr w:rsidR="00A13A45" w:rsidRPr="00A13A45" w:rsidTr="00A13A45">
        <w:tc>
          <w:tcPr>
            <w:tcW w:w="2000" w:type="pct"/>
            <w:gridSpan w:val="2"/>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150" w:after="150" w:line="240" w:lineRule="auto"/>
              <w:rPr>
                <w:rFonts w:ascii="Times New Roman" w:eastAsia="Times New Roman" w:hAnsi="Times New Roman" w:cs="Times New Roman"/>
                <w:sz w:val="24"/>
                <w:szCs w:val="24"/>
                <w:lang w:eastAsia="ru-RU"/>
              </w:rPr>
            </w:pPr>
            <w:bookmarkStart w:id="7" w:name="n86"/>
            <w:bookmarkStart w:id="8" w:name="n10"/>
            <w:bookmarkEnd w:id="7"/>
            <w:bookmarkEnd w:id="8"/>
            <w:r w:rsidRPr="00A13A45">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A13A45" w:rsidRPr="00A13A45" w:rsidRDefault="00A13A45" w:rsidP="00A13A45">
            <w:pPr>
              <w:spacing w:before="150" w:after="150" w:line="240" w:lineRule="auto"/>
              <w:jc w:val="center"/>
              <w:rPr>
                <w:rFonts w:ascii="Times New Roman" w:eastAsia="Times New Roman" w:hAnsi="Times New Roman" w:cs="Times New Roman"/>
                <w:sz w:val="24"/>
                <w:szCs w:val="24"/>
                <w:lang w:eastAsia="ru-RU"/>
              </w:rPr>
            </w:pPr>
            <w:r w:rsidRPr="00A13A45">
              <w:rPr>
                <w:rFonts w:ascii="Times New Roman" w:eastAsia="Times New Roman" w:hAnsi="Times New Roman" w:cs="Times New Roman"/>
                <w:b/>
                <w:bCs/>
                <w:sz w:val="24"/>
                <w:szCs w:val="24"/>
                <w:lang w:eastAsia="ru-RU"/>
              </w:rPr>
              <w:t>ЗАТВЕРДЖЕНО</w:t>
            </w:r>
            <w:r w:rsidRPr="00A13A45">
              <w:rPr>
                <w:rFonts w:ascii="Times New Roman" w:eastAsia="Times New Roman" w:hAnsi="Times New Roman" w:cs="Times New Roman"/>
                <w:sz w:val="24"/>
                <w:szCs w:val="24"/>
                <w:lang w:eastAsia="ru-RU"/>
              </w:rPr>
              <w:br/>
            </w:r>
            <w:r w:rsidRPr="00A13A45">
              <w:rPr>
                <w:rFonts w:ascii="Times New Roman" w:eastAsia="Times New Roman" w:hAnsi="Times New Roman" w:cs="Times New Roman"/>
                <w:b/>
                <w:bCs/>
                <w:sz w:val="24"/>
                <w:szCs w:val="24"/>
                <w:lang w:eastAsia="ru-RU"/>
              </w:rPr>
              <w:t>постановою Кабінету Міністрів України</w:t>
            </w:r>
            <w:r w:rsidRPr="00A13A45">
              <w:rPr>
                <w:rFonts w:ascii="Times New Roman" w:eastAsia="Times New Roman" w:hAnsi="Times New Roman" w:cs="Times New Roman"/>
                <w:sz w:val="24"/>
                <w:szCs w:val="24"/>
                <w:lang w:eastAsia="ru-RU"/>
              </w:rPr>
              <w:br/>
            </w:r>
            <w:r w:rsidRPr="00A13A45">
              <w:rPr>
                <w:rFonts w:ascii="Times New Roman" w:eastAsia="Times New Roman" w:hAnsi="Times New Roman" w:cs="Times New Roman"/>
                <w:b/>
                <w:bCs/>
                <w:sz w:val="24"/>
                <w:szCs w:val="24"/>
                <w:lang w:eastAsia="ru-RU"/>
              </w:rPr>
              <w:t>від 24 червня 2022 р. № 737</w:t>
            </w:r>
          </w:p>
        </w:tc>
      </w:tr>
    </w:tbl>
    <w:p w:rsidR="00A13A45" w:rsidRPr="00A13A45" w:rsidRDefault="00A13A45" w:rsidP="00A13A4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9" w:name="n11"/>
      <w:bookmarkEnd w:id="9"/>
      <w:r w:rsidRPr="00A13A45">
        <w:rPr>
          <w:rFonts w:ascii="Times New Roman" w:eastAsia="Times New Roman" w:hAnsi="Times New Roman" w:cs="Times New Roman"/>
          <w:b/>
          <w:bCs/>
          <w:color w:val="333333"/>
          <w:sz w:val="32"/>
          <w:szCs w:val="32"/>
          <w:lang w:eastAsia="ru-RU"/>
        </w:rPr>
        <w:t>ПОРЯДОК</w:t>
      </w:r>
      <w:r w:rsidRPr="00A13A45">
        <w:rPr>
          <w:rFonts w:ascii="Times New Roman" w:eastAsia="Times New Roman" w:hAnsi="Times New Roman" w:cs="Times New Roman"/>
          <w:color w:val="333333"/>
          <w:sz w:val="24"/>
          <w:szCs w:val="24"/>
          <w:lang w:eastAsia="ru-RU"/>
        </w:rPr>
        <w:br/>
      </w:r>
      <w:r w:rsidRPr="00A13A45">
        <w:rPr>
          <w:rFonts w:ascii="Times New Roman" w:eastAsia="Times New Roman" w:hAnsi="Times New Roman" w:cs="Times New Roman"/>
          <w:b/>
          <w:bCs/>
          <w:color w:val="333333"/>
          <w:sz w:val="32"/>
          <w:szCs w:val="32"/>
          <w:lang w:eastAsia="ru-RU"/>
        </w:rPr>
        <w:t>реалізації експерименту з організації навчання осіб за освітніми програмами у сфері інформаційних технологій “Старт в ІТ”</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2"/>
      <w:bookmarkEnd w:id="10"/>
      <w:r w:rsidRPr="00A13A45">
        <w:rPr>
          <w:rFonts w:ascii="Times New Roman" w:eastAsia="Times New Roman" w:hAnsi="Times New Roman" w:cs="Times New Roman"/>
          <w:color w:val="333333"/>
          <w:sz w:val="24"/>
          <w:szCs w:val="24"/>
          <w:lang w:eastAsia="ru-RU"/>
        </w:rPr>
        <w:t>1. Цей Порядок визначає механізм реалізації експерименту з організації навчання осіб за освітніми програмами у сфері інформаційних технологій “Старт в ІТ” (далі - експеримент), використання коштів, передбачених Мінекономіки у загальному фонді за рахунок коштів резервного фонду державного бюджету за програмою “Підтримка заходів з організації навчання осіб за освітніми програмами у сфері інформаційних технологій” та міжнародної технічної допомоги.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3"/>
      <w:bookmarkEnd w:id="11"/>
      <w:r w:rsidRPr="00A13A45">
        <w:rPr>
          <w:rFonts w:ascii="Times New Roman" w:eastAsia="Times New Roman" w:hAnsi="Times New Roman" w:cs="Times New Roman"/>
          <w:color w:val="333333"/>
          <w:sz w:val="24"/>
          <w:szCs w:val="24"/>
          <w:lang w:eastAsia="ru-RU"/>
        </w:rPr>
        <w:lastRenderedPageBreak/>
        <w:t>Метою експерименту є реалізація права громадян на працю, сприяння зайнятості населення.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4"/>
      <w:bookmarkEnd w:id="12"/>
      <w:r w:rsidRPr="00A13A45">
        <w:rPr>
          <w:rFonts w:ascii="Times New Roman" w:eastAsia="Times New Roman" w:hAnsi="Times New Roman" w:cs="Times New Roman"/>
          <w:color w:val="333333"/>
          <w:sz w:val="24"/>
          <w:szCs w:val="24"/>
          <w:lang w:eastAsia="ru-RU"/>
        </w:rPr>
        <w:t>2. Головним розпорядником коштів та відповідальним виконавцем бюджетної програми є Мінекономіки.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15"/>
      <w:bookmarkEnd w:id="13"/>
      <w:r w:rsidRPr="00A13A45">
        <w:rPr>
          <w:rFonts w:ascii="Times New Roman" w:eastAsia="Times New Roman" w:hAnsi="Times New Roman" w:cs="Times New Roman"/>
          <w:color w:val="333333"/>
          <w:sz w:val="24"/>
          <w:szCs w:val="24"/>
          <w:lang w:eastAsia="ru-RU"/>
        </w:rPr>
        <w:t>3. Координаторами експерименту є Мінекономіки, Мінцифри, Державний центр зайнятості.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6"/>
      <w:bookmarkEnd w:id="14"/>
      <w:r w:rsidRPr="00A13A45">
        <w:rPr>
          <w:rFonts w:ascii="Times New Roman" w:eastAsia="Times New Roman" w:hAnsi="Times New Roman" w:cs="Times New Roman"/>
          <w:color w:val="333333"/>
          <w:sz w:val="24"/>
          <w:szCs w:val="24"/>
          <w:lang w:eastAsia="ru-RU"/>
        </w:rPr>
        <w:t>4. Уповноваженими органами з реалізації експерименту від Державного центру зайнятості є міські, районні, міськрайонні центри зайнятості, філії регіональних центрів зайнятості (далі - центри зайнятості).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7"/>
      <w:bookmarkEnd w:id="15"/>
      <w:r w:rsidRPr="00A13A45">
        <w:rPr>
          <w:rFonts w:ascii="Times New Roman" w:eastAsia="Times New Roman" w:hAnsi="Times New Roman" w:cs="Times New Roman"/>
          <w:color w:val="333333"/>
          <w:sz w:val="24"/>
          <w:szCs w:val="24"/>
          <w:lang w:eastAsia="ru-RU"/>
        </w:rPr>
        <w:t>5. Учасниками експерименту є суб’єкти освітньої діяльності, що надають послуги в системі неформальної освіти (далі - суб’єкти освітньої діяльності), та особи, які перебувають у простої, особи, з якими зупинено дію трудового договору, особи, яким надано відпустку без збереження заробітної плати без обмеження строку, встановленого </w:t>
      </w:r>
      <w:hyperlink r:id="rId6" w:anchor="n298" w:tgtFrame="_blank" w:history="1">
        <w:r w:rsidRPr="00A13A45">
          <w:rPr>
            <w:rFonts w:ascii="Times New Roman" w:eastAsia="Times New Roman" w:hAnsi="Times New Roman" w:cs="Times New Roman"/>
            <w:color w:val="0000FF"/>
            <w:sz w:val="24"/>
            <w:szCs w:val="24"/>
            <w:u w:val="single"/>
            <w:lang w:eastAsia="ru-RU"/>
          </w:rPr>
          <w:t>частиною першою</w:t>
        </w:r>
      </w:hyperlink>
      <w:r w:rsidRPr="00A13A45">
        <w:rPr>
          <w:rFonts w:ascii="Times New Roman" w:eastAsia="Times New Roman" w:hAnsi="Times New Roman" w:cs="Times New Roman"/>
          <w:color w:val="333333"/>
          <w:sz w:val="24"/>
          <w:szCs w:val="24"/>
          <w:lang w:eastAsia="ru-RU"/>
        </w:rPr>
        <w:t> статті 26 Закону України “Про відпустки” відповідно до </w:t>
      </w:r>
      <w:hyperlink r:id="rId7" w:anchor="n46" w:tgtFrame="_blank" w:history="1">
        <w:r w:rsidRPr="00A13A45">
          <w:rPr>
            <w:rFonts w:ascii="Times New Roman" w:eastAsia="Times New Roman" w:hAnsi="Times New Roman" w:cs="Times New Roman"/>
            <w:color w:val="0000FF"/>
            <w:sz w:val="24"/>
            <w:szCs w:val="24"/>
            <w:u w:val="single"/>
            <w:lang w:eastAsia="ru-RU"/>
          </w:rPr>
          <w:t>частини третьої</w:t>
        </w:r>
      </w:hyperlink>
      <w:r w:rsidRPr="00A13A45">
        <w:rPr>
          <w:rFonts w:ascii="Times New Roman" w:eastAsia="Times New Roman" w:hAnsi="Times New Roman" w:cs="Times New Roman"/>
          <w:color w:val="333333"/>
          <w:sz w:val="24"/>
          <w:szCs w:val="24"/>
          <w:lang w:eastAsia="ru-RU"/>
        </w:rPr>
        <w:t> статті 12 Закону України “Про організацію трудових відносин в умовах воєнного стану”, внутрішньо переміщені особи працездатного віку, зареєстровані безробітні, які мають право на отримання соціальних послуг з професійної підготовки, перепідготовки та підвищення кваліфікації відповідно до Законів України </w:t>
      </w:r>
      <w:hyperlink r:id="rId8" w:tgtFrame="_blank" w:history="1">
        <w:r w:rsidRPr="00A13A45">
          <w:rPr>
            <w:rFonts w:ascii="Times New Roman" w:eastAsia="Times New Roman" w:hAnsi="Times New Roman" w:cs="Times New Roman"/>
            <w:color w:val="0000FF"/>
            <w:sz w:val="24"/>
            <w:szCs w:val="24"/>
            <w:u w:val="single"/>
            <w:lang w:eastAsia="ru-RU"/>
          </w:rPr>
          <w:t>“Про загальнообов’язкове державне соціальне страхування на випадок безробіття”</w:t>
        </w:r>
      </w:hyperlink>
      <w:r w:rsidRPr="00A13A45">
        <w:rPr>
          <w:rFonts w:ascii="Times New Roman" w:eastAsia="Times New Roman" w:hAnsi="Times New Roman" w:cs="Times New Roman"/>
          <w:color w:val="333333"/>
          <w:sz w:val="24"/>
          <w:szCs w:val="24"/>
          <w:lang w:eastAsia="ru-RU"/>
        </w:rPr>
        <w:t> і </w:t>
      </w:r>
      <w:hyperlink r:id="rId9" w:tgtFrame="_blank" w:history="1">
        <w:r w:rsidRPr="00A13A45">
          <w:rPr>
            <w:rFonts w:ascii="Times New Roman" w:eastAsia="Times New Roman" w:hAnsi="Times New Roman" w:cs="Times New Roman"/>
            <w:color w:val="0000FF"/>
            <w:sz w:val="24"/>
            <w:szCs w:val="24"/>
            <w:u w:val="single"/>
            <w:lang w:eastAsia="ru-RU"/>
          </w:rPr>
          <w:t>“Про зайнятість населення”</w:t>
        </w:r>
      </w:hyperlink>
      <w:r w:rsidRPr="00A13A45">
        <w:rPr>
          <w:rFonts w:ascii="Times New Roman" w:eastAsia="Times New Roman" w:hAnsi="Times New Roman" w:cs="Times New Roman"/>
          <w:color w:val="333333"/>
          <w:sz w:val="24"/>
          <w:szCs w:val="24"/>
          <w:lang w:eastAsia="ru-RU"/>
        </w:rPr>
        <w:t> та інші особи, за винятком тих, які зазначені в абзацах другому - п’ятому цього пункту (далі - особи).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A13A45">
        <w:rPr>
          <w:rFonts w:ascii="Times New Roman" w:eastAsia="Times New Roman" w:hAnsi="Times New Roman" w:cs="Times New Roman"/>
          <w:color w:val="333333"/>
          <w:sz w:val="24"/>
          <w:szCs w:val="24"/>
          <w:lang w:eastAsia="ru-RU"/>
        </w:rPr>
        <w:t>Дія цього Порядку не поширюється на: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A13A45">
        <w:rPr>
          <w:rFonts w:ascii="Times New Roman" w:eastAsia="Times New Roman" w:hAnsi="Times New Roman" w:cs="Times New Roman"/>
          <w:color w:val="333333"/>
          <w:sz w:val="24"/>
          <w:szCs w:val="24"/>
          <w:lang w:eastAsia="ru-RU"/>
        </w:rPr>
        <w:t>осіб, які не мають професійної (професійно-технічної) та/або фахової перед вищої, та/ або вищої освіти;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A13A45">
        <w:rPr>
          <w:rFonts w:ascii="Times New Roman" w:eastAsia="Times New Roman" w:hAnsi="Times New Roman" w:cs="Times New Roman"/>
          <w:color w:val="333333"/>
          <w:sz w:val="24"/>
          <w:szCs w:val="24"/>
          <w:lang w:eastAsia="ru-RU"/>
        </w:rPr>
        <w:t>осіб, які мають досвід роботи менше ніж 18 місяців;</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A13A45">
        <w:rPr>
          <w:rFonts w:ascii="Times New Roman" w:eastAsia="Times New Roman" w:hAnsi="Times New Roman" w:cs="Times New Roman"/>
          <w:color w:val="333333"/>
          <w:sz w:val="24"/>
          <w:szCs w:val="24"/>
          <w:lang w:eastAsia="ru-RU"/>
        </w:rPr>
        <w:t>осіб, які отримали спеціалізацію у сфері інформаційних технологій та/або мають досвід роботи в ІТ-індустрії.</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A13A45">
        <w:rPr>
          <w:rFonts w:ascii="Times New Roman" w:eastAsia="Times New Roman" w:hAnsi="Times New Roman" w:cs="Times New Roman"/>
          <w:color w:val="333333"/>
          <w:sz w:val="24"/>
          <w:szCs w:val="24"/>
          <w:lang w:eastAsia="ru-RU"/>
        </w:rPr>
        <w:t>6. Мінцифри затверджує перелік освітніх програм у сфері інформаційних технологій “Старт в ІТ” (далі - освітні програми) згідно з визначеними Міністерством критеріями, оприлюднює його на офіційному веб-сайті Мінцифри та передає Державному центру зайнятості для оприлюднення на офіційних веб-сайтах центрів зайнятості.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A13A45">
        <w:rPr>
          <w:rFonts w:ascii="Times New Roman" w:eastAsia="Times New Roman" w:hAnsi="Times New Roman" w:cs="Times New Roman"/>
          <w:color w:val="333333"/>
          <w:sz w:val="24"/>
          <w:szCs w:val="24"/>
          <w:lang w:eastAsia="ru-RU"/>
        </w:rPr>
        <w:t>7. Перелік освітніх програм містить інформацію про освітні програми та суб’єктів освітньої діяльності (назва освітньої програми, за якою здійснюватиметься навчання, строк, вартість навчання однієї особи за весь період навчання, матеріально-технічне, навчально-методичне та кадрове забезпечення, найменування суб’єкта освітньої діяльності, місцезнаходження).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A13A45">
        <w:rPr>
          <w:rFonts w:ascii="Times New Roman" w:eastAsia="Times New Roman" w:hAnsi="Times New Roman" w:cs="Times New Roman"/>
          <w:color w:val="333333"/>
          <w:sz w:val="24"/>
          <w:szCs w:val="24"/>
          <w:lang w:eastAsia="ru-RU"/>
        </w:rPr>
        <w:t>8. Особа здійснює вибір освітньої програми, зазначеної у відповідному переліку, а також форми та місця здобуття освіти.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A13A45">
        <w:rPr>
          <w:rFonts w:ascii="Times New Roman" w:eastAsia="Times New Roman" w:hAnsi="Times New Roman" w:cs="Times New Roman"/>
          <w:color w:val="333333"/>
          <w:sz w:val="24"/>
          <w:szCs w:val="24"/>
          <w:lang w:eastAsia="ru-RU"/>
        </w:rPr>
        <w:t>9. Для проходження навчання за освітніми програмами (далі - навчання) під час реалізації експерименту особа подає особисто заяву в електронній формі за допомогою засобів Єдиного державного вебпорталу електронних послуг (далі - Портал Дія).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A13A45">
        <w:rPr>
          <w:rFonts w:ascii="Times New Roman" w:eastAsia="Times New Roman" w:hAnsi="Times New Roman" w:cs="Times New Roman"/>
          <w:color w:val="333333"/>
          <w:sz w:val="24"/>
          <w:szCs w:val="24"/>
          <w:lang w:eastAsia="ru-RU"/>
        </w:rPr>
        <w:t xml:space="preserve">Заява подається </w:t>
      </w:r>
      <w:proofErr w:type="gramStart"/>
      <w:r w:rsidRPr="00A13A45">
        <w:rPr>
          <w:rFonts w:ascii="Times New Roman" w:eastAsia="Times New Roman" w:hAnsi="Times New Roman" w:cs="Times New Roman"/>
          <w:color w:val="333333"/>
          <w:sz w:val="24"/>
          <w:szCs w:val="24"/>
          <w:lang w:eastAsia="ru-RU"/>
        </w:rPr>
        <w:t>до центру</w:t>
      </w:r>
      <w:proofErr w:type="gramEnd"/>
      <w:r w:rsidRPr="00A13A45">
        <w:rPr>
          <w:rFonts w:ascii="Times New Roman" w:eastAsia="Times New Roman" w:hAnsi="Times New Roman" w:cs="Times New Roman"/>
          <w:color w:val="333333"/>
          <w:sz w:val="24"/>
          <w:szCs w:val="24"/>
          <w:lang w:eastAsia="ru-RU"/>
        </w:rPr>
        <w:t xml:space="preserve"> зайнятості за місцем проживання особи, яка: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A13A45">
        <w:rPr>
          <w:rFonts w:ascii="Times New Roman" w:eastAsia="Times New Roman" w:hAnsi="Times New Roman" w:cs="Times New Roman"/>
          <w:color w:val="333333"/>
          <w:sz w:val="24"/>
          <w:szCs w:val="24"/>
          <w:lang w:eastAsia="ru-RU"/>
        </w:rPr>
        <w:t>є громадянином України;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A13A45">
        <w:rPr>
          <w:rFonts w:ascii="Times New Roman" w:eastAsia="Times New Roman" w:hAnsi="Times New Roman" w:cs="Times New Roman"/>
          <w:color w:val="333333"/>
          <w:sz w:val="24"/>
          <w:szCs w:val="24"/>
          <w:lang w:eastAsia="ru-RU"/>
        </w:rPr>
        <w:t>пройшла електронну ідентифікацію та автентифікацію, зокрема з використанням інтегрованої системи електронної ідентифікації, кваліфікованого електронного підпису або інших засобів ідентифікації, які дають змогу однозначно встановити особу.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r w:rsidRPr="00A13A45">
        <w:rPr>
          <w:rFonts w:ascii="Times New Roman" w:eastAsia="Times New Roman" w:hAnsi="Times New Roman" w:cs="Times New Roman"/>
          <w:color w:val="333333"/>
          <w:sz w:val="24"/>
          <w:szCs w:val="24"/>
          <w:lang w:eastAsia="ru-RU"/>
        </w:rPr>
        <w:t>Заява містить:</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A13A45">
        <w:rPr>
          <w:rFonts w:ascii="Times New Roman" w:eastAsia="Times New Roman" w:hAnsi="Times New Roman" w:cs="Times New Roman"/>
          <w:color w:val="333333"/>
          <w:sz w:val="24"/>
          <w:szCs w:val="24"/>
          <w:lang w:eastAsia="ru-RU"/>
        </w:rPr>
        <w:t>прізвище, власне ім’я та по батькові (за наявності) особи;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A13A45">
        <w:rPr>
          <w:rFonts w:ascii="Times New Roman" w:eastAsia="Times New Roman" w:hAnsi="Times New Roman" w:cs="Times New Roman"/>
          <w:color w:val="333333"/>
          <w:sz w:val="24"/>
          <w:szCs w:val="24"/>
          <w:lang w:eastAsia="ru-RU"/>
        </w:rPr>
        <w:t xml:space="preserve">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w:t>
      </w:r>
      <w:r w:rsidRPr="00A13A45">
        <w:rPr>
          <w:rFonts w:ascii="Times New Roman" w:eastAsia="Times New Roman" w:hAnsi="Times New Roman" w:cs="Times New Roman"/>
          <w:color w:val="333333"/>
          <w:sz w:val="24"/>
          <w:szCs w:val="24"/>
          <w:lang w:eastAsia="ru-RU"/>
        </w:rPr>
        <w:lastRenderedPageBreak/>
        <w:t>податків та повідомили про це відповідному податковому органу та мають відмітку в паспорті про право здійснювати платежі за серією та номером паспорта);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A13A45">
        <w:rPr>
          <w:rFonts w:ascii="Times New Roman" w:eastAsia="Times New Roman" w:hAnsi="Times New Roman" w:cs="Times New Roman"/>
          <w:color w:val="333333"/>
          <w:sz w:val="24"/>
          <w:szCs w:val="24"/>
          <w:lang w:eastAsia="ru-RU"/>
        </w:rPr>
        <w:t>серію та/або номер паспорта;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A13A45">
        <w:rPr>
          <w:rFonts w:ascii="Times New Roman" w:eastAsia="Times New Roman" w:hAnsi="Times New Roman" w:cs="Times New Roman"/>
          <w:color w:val="333333"/>
          <w:sz w:val="24"/>
          <w:szCs w:val="24"/>
          <w:lang w:eastAsia="ru-RU"/>
        </w:rPr>
        <w:t>контактні дані отримувача (номер телефону, адресу електронної пошти);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A13A45">
        <w:rPr>
          <w:rFonts w:ascii="Times New Roman" w:eastAsia="Times New Roman" w:hAnsi="Times New Roman" w:cs="Times New Roman"/>
          <w:color w:val="333333"/>
          <w:sz w:val="24"/>
          <w:szCs w:val="24"/>
          <w:lang w:eastAsia="ru-RU"/>
        </w:rPr>
        <w:t>відомості з Єдиної інформаційної бази даних про внутрішньо переміщених осіб щодо довідки про взяття на облік внутрішньо переміщеної особи (для внутрішньо переміщених осіб).</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r w:rsidRPr="00A13A45">
        <w:rPr>
          <w:rFonts w:ascii="Times New Roman" w:eastAsia="Times New Roman" w:hAnsi="Times New Roman" w:cs="Times New Roman"/>
          <w:color w:val="333333"/>
          <w:sz w:val="24"/>
          <w:szCs w:val="24"/>
          <w:lang w:eastAsia="ru-RU"/>
        </w:rPr>
        <w:t>До заяви додаються: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A13A45">
        <w:rPr>
          <w:rFonts w:ascii="Times New Roman" w:eastAsia="Times New Roman" w:hAnsi="Times New Roman" w:cs="Times New Roman"/>
          <w:color w:val="333333"/>
          <w:sz w:val="24"/>
          <w:szCs w:val="24"/>
          <w:lang w:eastAsia="ru-RU"/>
        </w:rPr>
        <w:t>резюме за типовою формою, затвердженою Державним центром зайнятості (не більше одного аркуша);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A13A45">
        <w:rPr>
          <w:rFonts w:ascii="Times New Roman" w:eastAsia="Times New Roman" w:hAnsi="Times New Roman" w:cs="Times New Roman"/>
          <w:color w:val="333333"/>
          <w:sz w:val="24"/>
          <w:szCs w:val="24"/>
          <w:lang w:eastAsia="ru-RU"/>
        </w:rPr>
        <w:t>підтвердження готовності суб’єкта освітньої діяльності навчати особу;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A13A45">
        <w:rPr>
          <w:rFonts w:ascii="Times New Roman" w:eastAsia="Times New Roman" w:hAnsi="Times New Roman" w:cs="Times New Roman"/>
          <w:color w:val="333333"/>
          <w:sz w:val="24"/>
          <w:szCs w:val="24"/>
          <w:lang w:eastAsia="ru-RU"/>
        </w:rPr>
        <w:t>копія трудової книжки або дублікат трудової книжки (у разі наявності) або відомості з реєстру застрахованих осіб Державного реєстру загальнообов’язкового державного соціального страхування про наявний трудовий або страховий стаж - для підтвердження досвіду роботи;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A13A45">
        <w:rPr>
          <w:rFonts w:ascii="Times New Roman" w:eastAsia="Times New Roman" w:hAnsi="Times New Roman" w:cs="Times New Roman"/>
          <w:color w:val="333333"/>
          <w:sz w:val="24"/>
          <w:szCs w:val="24"/>
          <w:lang w:eastAsia="ru-RU"/>
        </w:rPr>
        <w:t>копія документа про освіту або його дублікат (за наявності такого документа або дубліката);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A13A45">
        <w:rPr>
          <w:rFonts w:ascii="Times New Roman" w:eastAsia="Times New Roman" w:hAnsi="Times New Roman" w:cs="Times New Roman"/>
          <w:color w:val="333333"/>
          <w:sz w:val="24"/>
          <w:szCs w:val="24"/>
          <w:lang w:eastAsia="ru-RU"/>
        </w:rPr>
        <w:t>копія наказу, що підтверджує перебування особи в простої, зупинення трудового договору, укладеного з нею, або перебування у відпустці без збереження заробітної плати (за наявності).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A13A45">
        <w:rPr>
          <w:rFonts w:ascii="Times New Roman" w:eastAsia="Times New Roman" w:hAnsi="Times New Roman" w:cs="Times New Roman"/>
          <w:color w:val="333333"/>
          <w:sz w:val="24"/>
          <w:szCs w:val="24"/>
          <w:lang w:eastAsia="ru-RU"/>
        </w:rPr>
        <w:t>Заява формується засобами Порталу Дія в довільній формі, придатній для сприйняття її змісту, відповідно до відомостей, визначених цим Порядком. Формування заяви закінчується накладенням електронного підпису, що базується на кваліфікованому сертифікаті електронного підпису.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A13A45">
        <w:rPr>
          <w:rFonts w:ascii="Times New Roman" w:eastAsia="Times New Roman" w:hAnsi="Times New Roman" w:cs="Times New Roman"/>
          <w:color w:val="333333"/>
          <w:sz w:val="24"/>
          <w:szCs w:val="24"/>
          <w:lang w:eastAsia="ru-RU"/>
        </w:rPr>
        <w:t>Відомості, необхідні для формування заяви,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умов договорів про взаємодію.</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A13A45">
        <w:rPr>
          <w:rFonts w:ascii="Times New Roman" w:eastAsia="Times New Roman" w:hAnsi="Times New Roman" w:cs="Times New Roman"/>
          <w:color w:val="333333"/>
          <w:sz w:val="24"/>
          <w:szCs w:val="24"/>
          <w:lang w:eastAsia="ru-RU"/>
        </w:rPr>
        <w:t>10. За результатом розгляду поданих особою документів центр зайнятості протягом трьох робочих днів приймає рішення про видачу або відмову у видачі сертифіката для навчання (далі - сертифікат) в обраному особою суб’єкті освітньої діяльності за обраною освітньою програмою. Рішення центру зайнятості оформлюється наказом.</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A13A45">
        <w:rPr>
          <w:rFonts w:ascii="Times New Roman" w:eastAsia="Times New Roman" w:hAnsi="Times New Roman" w:cs="Times New Roman"/>
          <w:color w:val="333333"/>
          <w:sz w:val="24"/>
          <w:szCs w:val="24"/>
          <w:lang w:eastAsia="ru-RU"/>
        </w:rPr>
        <w:t>Центр зайнятості інформує особу, що подала заяву, про прийняте рішення засобами Порталу Дія протягом трьох робочих днів з дня його прийняття.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A13A45">
        <w:rPr>
          <w:rFonts w:ascii="Times New Roman" w:eastAsia="Times New Roman" w:hAnsi="Times New Roman" w:cs="Times New Roman"/>
          <w:color w:val="333333"/>
          <w:sz w:val="24"/>
          <w:szCs w:val="24"/>
          <w:lang w:eastAsia="ru-RU"/>
        </w:rPr>
        <w:t>11. За результатами прийнятого рішення для проходження навчання центр зайнятості видає одноразово особі сертифікат в електронній формі, який формується засобами Порталу Дія.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A13A45">
        <w:rPr>
          <w:rFonts w:ascii="Times New Roman" w:eastAsia="Times New Roman" w:hAnsi="Times New Roman" w:cs="Times New Roman"/>
          <w:color w:val="333333"/>
          <w:sz w:val="24"/>
          <w:szCs w:val="24"/>
          <w:lang w:eastAsia="ru-RU"/>
        </w:rPr>
        <w:t>Строк використання сертифіката становить десять робочих днів з дня його видачі.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A13A45">
        <w:rPr>
          <w:rFonts w:ascii="Times New Roman" w:eastAsia="Times New Roman" w:hAnsi="Times New Roman" w:cs="Times New Roman"/>
          <w:color w:val="333333"/>
          <w:sz w:val="24"/>
          <w:szCs w:val="24"/>
          <w:lang w:eastAsia="ru-RU"/>
        </w:rPr>
        <w:t>Сертифікат гарантує особі оплату центром зайнятості суб’єкту освітньої діяльності вартості навчання у розмірі, визначеному відповідно до </w:t>
      </w:r>
      <w:hyperlink r:id="rId10" w:anchor="n23" w:history="1">
        <w:r w:rsidRPr="00A13A45">
          <w:rPr>
            <w:rFonts w:ascii="Times New Roman" w:eastAsia="Times New Roman" w:hAnsi="Times New Roman" w:cs="Times New Roman"/>
            <w:color w:val="0000FF"/>
            <w:sz w:val="24"/>
            <w:szCs w:val="24"/>
            <w:u w:val="single"/>
            <w:lang w:eastAsia="ru-RU"/>
          </w:rPr>
          <w:t>пункту 7</w:t>
        </w:r>
      </w:hyperlink>
      <w:r w:rsidRPr="00A13A45">
        <w:rPr>
          <w:rFonts w:ascii="Times New Roman" w:eastAsia="Times New Roman" w:hAnsi="Times New Roman" w:cs="Times New Roman"/>
          <w:color w:val="333333"/>
          <w:sz w:val="24"/>
          <w:szCs w:val="24"/>
          <w:lang w:eastAsia="ru-RU"/>
        </w:rPr>
        <w:t> цього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A13A45">
        <w:rPr>
          <w:rFonts w:ascii="Times New Roman" w:eastAsia="Times New Roman" w:hAnsi="Times New Roman" w:cs="Times New Roman"/>
          <w:color w:val="333333"/>
          <w:sz w:val="24"/>
          <w:szCs w:val="24"/>
          <w:lang w:eastAsia="ru-RU"/>
        </w:rPr>
        <w:t>12. Підставами для відмови у видачі сертифіката є:</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A13A45">
        <w:rPr>
          <w:rFonts w:ascii="Times New Roman" w:eastAsia="Times New Roman" w:hAnsi="Times New Roman" w:cs="Times New Roman"/>
          <w:color w:val="333333"/>
          <w:sz w:val="24"/>
          <w:szCs w:val="24"/>
          <w:lang w:eastAsia="ru-RU"/>
        </w:rPr>
        <w:t>невідповідність особи вимогам, визначеним </w:t>
      </w:r>
      <w:hyperlink r:id="rId11" w:anchor="n17" w:history="1">
        <w:r w:rsidRPr="00A13A45">
          <w:rPr>
            <w:rFonts w:ascii="Times New Roman" w:eastAsia="Times New Roman" w:hAnsi="Times New Roman" w:cs="Times New Roman"/>
            <w:color w:val="0000FF"/>
            <w:sz w:val="24"/>
            <w:szCs w:val="24"/>
            <w:u w:val="single"/>
            <w:lang w:eastAsia="ru-RU"/>
          </w:rPr>
          <w:t>пунктом 5</w:t>
        </w:r>
      </w:hyperlink>
      <w:r w:rsidRPr="00A13A45">
        <w:rPr>
          <w:rFonts w:ascii="Times New Roman" w:eastAsia="Times New Roman" w:hAnsi="Times New Roman" w:cs="Times New Roman"/>
          <w:color w:val="333333"/>
          <w:sz w:val="24"/>
          <w:szCs w:val="24"/>
          <w:lang w:eastAsia="ru-RU"/>
        </w:rPr>
        <w:t> цього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A13A45">
        <w:rPr>
          <w:rFonts w:ascii="Times New Roman" w:eastAsia="Times New Roman" w:hAnsi="Times New Roman" w:cs="Times New Roman"/>
          <w:color w:val="333333"/>
          <w:sz w:val="24"/>
          <w:szCs w:val="24"/>
          <w:lang w:eastAsia="ru-RU"/>
        </w:rPr>
        <w:t>відсутність документів, передбачених у </w:t>
      </w:r>
      <w:hyperlink r:id="rId12" w:anchor="n25" w:history="1">
        <w:r w:rsidRPr="00A13A45">
          <w:rPr>
            <w:rFonts w:ascii="Times New Roman" w:eastAsia="Times New Roman" w:hAnsi="Times New Roman" w:cs="Times New Roman"/>
            <w:color w:val="0000FF"/>
            <w:sz w:val="24"/>
            <w:szCs w:val="24"/>
            <w:u w:val="single"/>
            <w:lang w:eastAsia="ru-RU"/>
          </w:rPr>
          <w:t>пункті 9</w:t>
        </w:r>
      </w:hyperlink>
      <w:r w:rsidRPr="00A13A45">
        <w:rPr>
          <w:rFonts w:ascii="Times New Roman" w:eastAsia="Times New Roman" w:hAnsi="Times New Roman" w:cs="Times New Roman"/>
          <w:color w:val="333333"/>
          <w:sz w:val="24"/>
          <w:szCs w:val="24"/>
          <w:lang w:eastAsia="ru-RU"/>
        </w:rPr>
        <w:t> цього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A13A45">
        <w:rPr>
          <w:rFonts w:ascii="Times New Roman" w:eastAsia="Times New Roman" w:hAnsi="Times New Roman" w:cs="Times New Roman"/>
          <w:color w:val="333333"/>
          <w:sz w:val="24"/>
          <w:szCs w:val="24"/>
          <w:lang w:eastAsia="ru-RU"/>
        </w:rPr>
        <w:t>13. Зарахування особи на навчання на підставі сертифіката здійснюється суб’єктом освітньої діяльності після укладення між ними договору про навчання відповідно до законодавства.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A13A45">
        <w:rPr>
          <w:rFonts w:ascii="Times New Roman" w:eastAsia="Times New Roman" w:hAnsi="Times New Roman" w:cs="Times New Roman"/>
          <w:color w:val="333333"/>
          <w:sz w:val="24"/>
          <w:szCs w:val="24"/>
          <w:lang w:eastAsia="ru-RU"/>
        </w:rPr>
        <w:t>У договорі про навчання зазначається вартість навчання, яка відповідає вартості навчання, визначеній у сертифікаті, що не підлягає зміні.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A13A45">
        <w:rPr>
          <w:rFonts w:ascii="Times New Roman" w:eastAsia="Times New Roman" w:hAnsi="Times New Roman" w:cs="Times New Roman"/>
          <w:color w:val="333333"/>
          <w:sz w:val="24"/>
          <w:szCs w:val="24"/>
          <w:lang w:eastAsia="ru-RU"/>
        </w:rPr>
        <w:t xml:space="preserve">14. Суб’єкт освітньої діяльності після укладення договору про навчання з особою подає центру зайнятості завірену належним чином копію договору, розрахунок вартості витрат на навчання, </w:t>
      </w:r>
      <w:r w:rsidRPr="00A13A45">
        <w:rPr>
          <w:rFonts w:ascii="Times New Roman" w:eastAsia="Times New Roman" w:hAnsi="Times New Roman" w:cs="Times New Roman"/>
          <w:color w:val="333333"/>
          <w:sz w:val="24"/>
          <w:szCs w:val="24"/>
          <w:lang w:eastAsia="ru-RU"/>
        </w:rPr>
        <w:lastRenderedPageBreak/>
        <w:t>відомості про рахунок суб’єкта освітньої діяльності для оплати вартості навчання із зазначенням прізвища, власного імені та по батькові (за наявності) особи.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4"/>
      <w:bookmarkEnd w:id="52"/>
      <w:r w:rsidRPr="00A13A45">
        <w:rPr>
          <w:rFonts w:ascii="Times New Roman" w:eastAsia="Times New Roman" w:hAnsi="Times New Roman" w:cs="Times New Roman"/>
          <w:color w:val="333333"/>
          <w:sz w:val="24"/>
          <w:szCs w:val="24"/>
          <w:lang w:eastAsia="ru-RU"/>
        </w:rPr>
        <w:t>Відповідальність за обґрунтованість вартості навчання і достовірність інформації про навчання особи, що подається центру зайнятості, покладається на суб’єкта освітньої діяльності.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5"/>
      <w:bookmarkEnd w:id="53"/>
      <w:r w:rsidRPr="00A13A45">
        <w:rPr>
          <w:rFonts w:ascii="Times New Roman" w:eastAsia="Times New Roman" w:hAnsi="Times New Roman" w:cs="Times New Roman"/>
          <w:color w:val="333333"/>
          <w:sz w:val="24"/>
          <w:szCs w:val="24"/>
          <w:lang w:eastAsia="ru-RU"/>
        </w:rPr>
        <w:t>15. Центр зайнятості протягом двох робочих днів з дня надходження коштів на рахунок центру зайнятості здійснює перерахування коштів за професійне навчання суб’єкту освітньої діяльності.</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6"/>
      <w:bookmarkEnd w:id="54"/>
      <w:r w:rsidRPr="00A13A45">
        <w:rPr>
          <w:rFonts w:ascii="Times New Roman" w:eastAsia="Times New Roman" w:hAnsi="Times New Roman" w:cs="Times New Roman"/>
          <w:color w:val="333333"/>
          <w:sz w:val="24"/>
          <w:szCs w:val="24"/>
          <w:lang w:eastAsia="ru-RU"/>
        </w:rPr>
        <w:t>16. Суб’єкт освітньої діяльності отримує суму витрат на навчання, передбачену розрахунком вартості витрат на навчання, та зобов’язаний забезпечити проведення освітнього процесу, своєчасно надавати центру зайнятості інформацію про відрахування особи, зокрема дострокове.</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7"/>
      <w:bookmarkEnd w:id="55"/>
      <w:r w:rsidRPr="00A13A45">
        <w:rPr>
          <w:rFonts w:ascii="Times New Roman" w:eastAsia="Times New Roman" w:hAnsi="Times New Roman" w:cs="Times New Roman"/>
          <w:color w:val="333333"/>
          <w:sz w:val="24"/>
          <w:szCs w:val="24"/>
          <w:lang w:eastAsia="ru-RU"/>
        </w:rPr>
        <w:t>17. Після закінчення строку дії договору про навчання суб’єкт освітньої діяльності протягом п’яти робочих днів подає центру зайнятості, який видав сертифікат, копію наказу про відрахування особи із суб’єкта освітньої діяльності у зв’язку із закінченням навчання.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8"/>
      <w:bookmarkEnd w:id="56"/>
      <w:r w:rsidRPr="00A13A45">
        <w:rPr>
          <w:rFonts w:ascii="Times New Roman" w:eastAsia="Times New Roman" w:hAnsi="Times New Roman" w:cs="Times New Roman"/>
          <w:color w:val="333333"/>
          <w:sz w:val="24"/>
          <w:szCs w:val="24"/>
          <w:lang w:eastAsia="ru-RU"/>
        </w:rPr>
        <w:t>У разі дострокового припинення дії договору про навчання суб’єкт освітньої діяльності протягом п’яти робочих днів подає центру зайнятості, який видав сертифікат, копію наказу про дострокове припинення навчання, розрахунок невикористаної частини коштів, передбачених для оплати вартості навчання, та повертає таку частину на рахунок центру зайнятості, який видав сертифікат, із зазначенням у платіжному дорученні прізвища, власного імені та по батькові (за наявності) особи і номера сертифіката.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9"/>
      <w:bookmarkEnd w:id="57"/>
      <w:r w:rsidRPr="00A13A45">
        <w:rPr>
          <w:rFonts w:ascii="Times New Roman" w:eastAsia="Times New Roman" w:hAnsi="Times New Roman" w:cs="Times New Roman"/>
          <w:color w:val="333333"/>
          <w:sz w:val="24"/>
          <w:szCs w:val="24"/>
          <w:lang w:eastAsia="ru-RU"/>
        </w:rPr>
        <w:t>У разі припинення навчання особою, що проходить навчання на умовах, визначених цим Порядком, без поважної причини або її відрахування за невиконання робочого навчального плану з вини особи така особа не має права звертатися до Державної служби зайнятості за отриманням допомоги по безробіттю протягом 12 місяців.</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60"/>
      <w:bookmarkEnd w:id="58"/>
      <w:r w:rsidRPr="00A13A45">
        <w:rPr>
          <w:rFonts w:ascii="Times New Roman" w:eastAsia="Times New Roman" w:hAnsi="Times New Roman" w:cs="Times New Roman"/>
          <w:color w:val="333333"/>
          <w:sz w:val="24"/>
          <w:szCs w:val="24"/>
          <w:lang w:eastAsia="ru-RU"/>
        </w:rPr>
        <w:t>Поважними причинами для дострокового припинення особою навчання вважаються: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1"/>
      <w:bookmarkEnd w:id="59"/>
      <w:r w:rsidRPr="00A13A45">
        <w:rPr>
          <w:rFonts w:ascii="Times New Roman" w:eastAsia="Times New Roman" w:hAnsi="Times New Roman" w:cs="Times New Roman"/>
          <w:color w:val="333333"/>
          <w:sz w:val="24"/>
          <w:szCs w:val="24"/>
          <w:lang w:eastAsia="ru-RU"/>
        </w:rPr>
        <w:t>поновлення на роботі за рішенням суду, що набрало законної сили;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2"/>
      <w:bookmarkEnd w:id="60"/>
      <w:r w:rsidRPr="00A13A45">
        <w:rPr>
          <w:rFonts w:ascii="Times New Roman" w:eastAsia="Times New Roman" w:hAnsi="Times New Roman" w:cs="Times New Roman"/>
          <w:color w:val="333333"/>
          <w:sz w:val="24"/>
          <w:szCs w:val="24"/>
          <w:lang w:eastAsia="ru-RU"/>
        </w:rPr>
        <w:t>набрання законної сили вироком суду про засудження особи до позбавлення волі, обмеження волі, арешту (крім випадків звільнення від відбування покарання з випробуванням), застосування судом примусового лікування особи;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3"/>
      <w:bookmarkEnd w:id="61"/>
      <w:r w:rsidRPr="00A13A45">
        <w:rPr>
          <w:rFonts w:ascii="Times New Roman" w:eastAsia="Times New Roman" w:hAnsi="Times New Roman" w:cs="Times New Roman"/>
          <w:color w:val="333333"/>
          <w:sz w:val="24"/>
          <w:szCs w:val="24"/>
          <w:lang w:eastAsia="ru-RU"/>
        </w:rPr>
        <w:t>смерть особи або визнання її за рішенням суду померлою або безвісно відсутньою, недієздатною або обмежено дієздатною;</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4"/>
      <w:bookmarkEnd w:id="62"/>
      <w:r w:rsidRPr="00A13A45">
        <w:rPr>
          <w:rFonts w:ascii="Times New Roman" w:eastAsia="Times New Roman" w:hAnsi="Times New Roman" w:cs="Times New Roman"/>
          <w:color w:val="333333"/>
          <w:sz w:val="24"/>
          <w:szCs w:val="24"/>
          <w:lang w:eastAsia="ru-RU"/>
        </w:rPr>
        <w:t>стан здоров’я особи, яка має медичні протипоказання щодо продовження навчання за освітньою програмою або працевлаштування за набутими компетентностями, що підтверджено документально;</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5"/>
      <w:bookmarkEnd w:id="63"/>
      <w:r w:rsidRPr="00A13A45">
        <w:rPr>
          <w:rFonts w:ascii="Times New Roman" w:eastAsia="Times New Roman" w:hAnsi="Times New Roman" w:cs="Times New Roman"/>
          <w:color w:val="333333"/>
          <w:sz w:val="24"/>
          <w:szCs w:val="24"/>
          <w:lang w:eastAsia="ru-RU"/>
        </w:rPr>
        <w:t>вимушений переїзд з регіону, який окупований або в якому ведуться бойові дії, на постійне місце проживання в іншу місцевість;</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6"/>
      <w:bookmarkEnd w:id="64"/>
      <w:r w:rsidRPr="00A13A45">
        <w:rPr>
          <w:rFonts w:ascii="Times New Roman" w:eastAsia="Times New Roman" w:hAnsi="Times New Roman" w:cs="Times New Roman"/>
          <w:color w:val="333333"/>
          <w:sz w:val="24"/>
          <w:szCs w:val="24"/>
          <w:lang w:eastAsia="ru-RU"/>
        </w:rPr>
        <w:t>призов на строкову військову або альтернативну (невійськову) службу;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7"/>
      <w:bookmarkEnd w:id="65"/>
      <w:r w:rsidRPr="00A13A45">
        <w:rPr>
          <w:rFonts w:ascii="Times New Roman" w:eastAsia="Times New Roman" w:hAnsi="Times New Roman" w:cs="Times New Roman"/>
          <w:color w:val="333333"/>
          <w:sz w:val="24"/>
          <w:szCs w:val="24"/>
          <w:lang w:eastAsia="ru-RU"/>
        </w:rPr>
        <w:t xml:space="preserve">отримання повістки </w:t>
      </w:r>
      <w:proofErr w:type="gramStart"/>
      <w:r w:rsidRPr="00A13A45">
        <w:rPr>
          <w:rFonts w:ascii="Times New Roman" w:eastAsia="Times New Roman" w:hAnsi="Times New Roman" w:cs="Times New Roman"/>
          <w:color w:val="333333"/>
          <w:sz w:val="24"/>
          <w:szCs w:val="24"/>
          <w:lang w:eastAsia="ru-RU"/>
        </w:rPr>
        <w:t>про призов</w:t>
      </w:r>
      <w:proofErr w:type="gramEnd"/>
      <w:r w:rsidRPr="00A13A45">
        <w:rPr>
          <w:rFonts w:ascii="Times New Roman" w:eastAsia="Times New Roman" w:hAnsi="Times New Roman" w:cs="Times New Roman"/>
          <w:color w:val="333333"/>
          <w:sz w:val="24"/>
          <w:szCs w:val="24"/>
          <w:lang w:eastAsia="ru-RU"/>
        </w:rPr>
        <w:t xml:space="preserve"> на навчальні або перевірочні та спеціальні збори у Збройні Сили згідно із </w:t>
      </w:r>
      <w:hyperlink r:id="rId13" w:tgtFrame="_blank" w:history="1">
        <w:r w:rsidRPr="00A13A45">
          <w:rPr>
            <w:rFonts w:ascii="Times New Roman" w:eastAsia="Times New Roman" w:hAnsi="Times New Roman" w:cs="Times New Roman"/>
            <w:color w:val="0000FF"/>
            <w:sz w:val="24"/>
            <w:szCs w:val="24"/>
            <w:u w:val="single"/>
            <w:lang w:eastAsia="ru-RU"/>
          </w:rPr>
          <w:t>Законом України</w:t>
        </w:r>
      </w:hyperlink>
      <w:r w:rsidRPr="00A13A45">
        <w:rPr>
          <w:rFonts w:ascii="Times New Roman" w:eastAsia="Times New Roman" w:hAnsi="Times New Roman" w:cs="Times New Roman"/>
          <w:color w:val="333333"/>
          <w:sz w:val="24"/>
          <w:szCs w:val="24"/>
          <w:lang w:eastAsia="ru-RU"/>
        </w:rPr>
        <w:t> “Про загальний військовий обов’язок і військову службу”;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8"/>
      <w:bookmarkEnd w:id="66"/>
      <w:r w:rsidRPr="00A13A45">
        <w:rPr>
          <w:rFonts w:ascii="Times New Roman" w:eastAsia="Times New Roman" w:hAnsi="Times New Roman" w:cs="Times New Roman"/>
          <w:color w:val="333333"/>
          <w:sz w:val="24"/>
          <w:szCs w:val="24"/>
          <w:lang w:eastAsia="ru-RU"/>
        </w:rPr>
        <w:t>призов на військову службу під час мобілізації або залучення особи до виконання обов’язків за посадами, передбаченими штатами воєнного часу, відповідно до </w:t>
      </w:r>
      <w:hyperlink r:id="rId14" w:tgtFrame="_blank" w:history="1">
        <w:r w:rsidRPr="00A13A45">
          <w:rPr>
            <w:rFonts w:ascii="Times New Roman" w:eastAsia="Times New Roman" w:hAnsi="Times New Roman" w:cs="Times New Roman"/>
            <w:color w:val="0000FF"/>
            <w:sz w:val="24"/>
            <w:szCs w:val="24"/>
            <w:u w:val="single"/>
            <w:lang w:eastAsia="ru-RU"/>
          </w:rPr>
          <w:t>Закону України</w:t>
        </w:r>
      </w:hyperlink>
      <w:r w:rsidRPr="00A13A45">
        <w:rPr>
          <w:rFonts w:ascii="Times New Roman" w:eastAsia="Times New Roman" w:hAnsi="Times New Roman" w:cs="Times New Roman"/>
          <w:color w:val="333333"/>
          <w:sz w:val="24"/>
          <w:szCs w:val="24"/>
          <w:lang w:eastAsia="ru-RU"/>
        </w:rPr>
        <w:t> “Про мобілізаційну підготовку та мобілізацію”;</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9"/>
      <w:bookmarkEnd w:id="67"/>
      <w:r w:rsidRPr="00A13A45">
        <w:rPr>
          <w:rFonts w:ascii="Times New Roman" w:eastAsia="Times New Roman" w:hAnsi="Times New Roman" w:cs="Times New Roman"/>
          <w:color w:val="333333"/>
          <w:sz w:val="24"/>
          <w:szCs w:val="24"/>
          <w:lang w:eastAsia="ru-RU"/>
        </w:rPr>
        <w:t>інші причини, що не залежать від особи, підтверджені документально.</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70"/>
      <w:bookmarkEnd w:id="68"/>
      <w:r w:rsidRPr="00A13A45">
        <w:rPr>
          <w:rFonts w:ascii="Times New Roman" w:eastAsia="Times New Roman" w:hAnsi="Times New Roman" w:cs="Times New Roman"/>
          <w:color w:val="333333"/>
          <w:sz w:val="24"/>
          <w:szCs w:val="24"/>
          <w:lang w:eastAsia="ru-RU"/>
        </w:rPr>
        <w:t>18. За зареєстрованим безробітним протягом строку дії договору зберігається виплата допомоги по безробіттю у розмірах і строки, що встановлені відповідно до законодавства.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1"/>
      <w:bookmarkEnd w:id="69"/>
      <w:r w:rsidRPr="00A13A45">
        <w:rPr>
          <w:rFonts w:ascii="Times New Roman" w:eastAsia="Times New Roman" w:hAnsi="Times New Roman" w:cs="Times New Roman"/>
          <w:color w:val="333333"/>
          <w:sz w:val="24"/>
          <w:szCs w:val="24"/>
          <w:lang w:eastAsia="ru-RU"/>
        </w:rPr>
        <w:t>19. Після завершення навчання за відповідною освітньою програмою особа отримує відповідний документ про освіту.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2"/>
      <w:bookmarkEnd w:id="70"/>
      <w:r w:rsidRPr="00A13A45">
        <w:rPr>
          <w:rFonts w:ascii="Times New Roman" w:eastAsia="Times New Roman" w:hAnsi="Times New Roman" w:cs="Times New Roman"/>
          <w:color w:val="333333"/>
          <w:sz w:val="24"/>
          <w:szCs w:val="24"/>
          <w:lang w:eastAsia="ru-RU"/>
        </w:rPr>
        <w:lastRenderedPageBreak/>
        <w:t>20. Особа, яка завершила навчання відповідно до цього Порядку, зобов’язана протягом 30 календарних днів після його завершення працевлаштуватися за наймом на умовах трудового договору (контракту), зокрема на умовах гіг-контракту, або укласти цивільно-правовий договір про виконання робіт (надання послуг), або зареєструватися як фізична особа-підприємець, або провадити незалежну професійну діяльність за отриманою кваліфікацією відповідно до освітньої програми.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3"/>
      <w:bookmarkEnd w:id="71"/>
      <w:r w:rsidRPr="00A13A45">
        <w:rPr>
          <w:rFonts w:ascii="Times New Roman" w:eastAsia="Times New Roman" w:hAnsi="Times New Roman" w:cs="Times New Roman"/>
          <w:color w:val="333333"/>
          <w:sz w:val="24"/>
          <w:szCs w:val="24"/>
          <w:lang w:eastAsia="ru-RU"/>
        </w:rPr>
        <w:t>Особа після працевлаштування або державної реєстрації як фізичної особи - підприємця протягом п’яти робочих днів подає центру зайнятості документи, які підтверджують працевлаштування (копію трудового договору (контракту) або гіг-контракту або цивільно-правового договору про виконання робіт (надання послуг), або інформує центр зайнятості про державну реєстрацію себе як фізичної особи - підприємця.</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4"/>
      <w:bookmarkEnd w:id="72"/>
      <w:r w:rsidRPr="00A13A45">
        <w:rPr>
          <w:rFonts w:ascii="Times New Roman" w:eastAsia="Times New Roman" w:hAnsi="Times New Roman" w:cs="Times New Roman"/>
          <w:color w:val="333333"/>
          <w:sz w:val="24"/>
          <w:szCs w:val="24"/>
          <w:lang w:eastAsia="ru-RU"/>
        </w:rPr>
        <w:t xml:space="preserve">Актуальні відомості про фізичну особу - підприємця центри зайнятості отримують </w:t>
      </w:r>
      <w:proofErr w:type="gramStart"/>
      <w:r w:rsidRPr="00A13A45">
        <w:rPr>
          <w:rFonts w:ascii="Times New Roman" w:eastAsia="Times New Roman" w:hAnsi="Times New Roman" w:cs="Times New Roman"/>
          <w:color w:val="333333"/>
          <w:sz w:val="24"/>
          <w:szCs w:val="24"/>
          <w:lang w:eastAsia="ru-RU"/>
        </w:rPr>
        <w:t>в порядку</w:t>
      </w:r>
      <w:proofErr w:type="gramEnd"/>
      <w:r w:rsidRPr="00A13A45">
        <w:rPr>
          <w:rFonts w:ascii="Times New Roman" w:eastAsia="Times New Roman" w:hAnsi="Times New Roman" w:cs="Times New Roman"/>
          <w:color w:val="333333"/>
          <w:sz w:val="24"/>
          <w:szCs w:val="24"/>
          <w:lang w:eastAsia="ru-RU"/>
        </w:rPr>
        <w:t xml:space="preserve"> інформаційної взаємодії відповідно до норм законодавства.</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5"/>
      <w:bookmarkEnd w:id="73"/>
      <w:r w:rsidRPr="00A13A45">
        <w:rPr>
          <w:rFonts w:ascii="Times New Roman" w:eastAsia="Times New Roman" w:hAnsi="Times New Roman" w:cs="Times New Roman"/>
          <w:color w:val="333333"/>
          <w:sz w:val="24"/>
          <w:szCs w:val="24"/>
          <w:lang w:eastAsia="ru-RU"/>
        </w:rPr>
        <w:t>У разі коли особа, яка закінчила навчання, не працевлаштувалась, вона не має права звертатися до Державної служби зайнятості за отриманням допомоги по безробіттю протягом 12 місяців.</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6"/>
      <w:bookmarkEnd w:id="74"/>
      <w:r w:rsidRPr="00A13A45">
        <w:rPr>
          <w:rFonts w:ascii="Times New Roman" w:eastAsia="Times New Roman" w:hAnsi="Times New Roman" w:cs="Times New Roman"/>
          <w:color w:val="333333"/>
          <w:sz w:val="24"/>
          <w:szCs w:val="24"/>
          <w:lang w:eastAsia="ru-RU"/>
        </w:rPr>
        <w:t>21. Державний центр зайнятості на підставі отриманих від регіональних центрів зайнятості заявок щотижня надсилає до Мінекономіки подання щодо перерахування коштів на рахунок Фонду загальнообов’язкового державного соціального страхування на випадок безробіття (далі - Фонд) для оплати витрат на професійне навчання (далі - подання) за формою, затвердженою Мінекономіки.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7"/>
      <w:bookmarkEnd w:id="75"/>
      <w:r w:rsidRPr="00A13A45">
        <w:rPr>
          <w:rFonts w:ascii="Times New Roman" w:eastAsia="Times New Roman" w:hAnsi="Times New Roman" w:cs="Times New Roman"/>
          <w:color w:val="333333"/>
          <w:sz w:val="24"/>
          <w:szCs w:val="24"/>
          <w:lang w:eastAsia="ru-RU"/>
        </w:rPr>
        <w:t>22. Мінекономіки на підставі подання перераховує кошти Державному центру зайнятості на окремий рахунок 3554 “Рахунки державних цільових фондів”, відкритий в Казначействі для обслуговування коштів Фонду. Після надходження перерахованих Мінекономіки коштів на рахунок Фонду Державний центр зайнятості проводить фінансування видатків регіональних центрів зайнятості на оплату проходження особами професійного навчання під час реалізації експерименту.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8"/>
      <w:bookmarkEnd w:id="76"/>
      <w:r w:rsidRPr="00A13A45">
        <w:rPr>
          <w:rFonts w:ascii="Times New Roman" w:eastAsia="Times New Roman" w:hAnsi="Times New Roman" w:cs="Times New Roman"/>
          <w:color w:val="333333"/>
          <w:sz w:val="24"/>
          <w:szCs w:val="24"/>
          <w:lang w:eastAsia="ru-RU"/>
        </w:rPr>
        <w:t>Для виконання програми “Підтримка заходів з організації навчання осіб за освітніми програмами у сфері інформаційних технологій” Мінекономіки відкриває в Казначействі реєстраційний рахунок загального фонду державного бюджету.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9"/>
      <w:bookmarkEnd w:id="77"/>
      <w:r w:rsidRPr="00A13A45">
        <w:rPr>
          <w:rFonts w:ascii="Times New Roman" w:eastAsia="Times New Roman" w:hAnsi="Times New Roman" w:cs="Times New Roman"/>
          <w:color w:val="333333"/>
          <w:sz w:val="24"/>
          <w:szCs w:val="24"/>
          <w:lang w:eastAsia="ru-RU"/>
        </w:rPr>
        <w:t xml:space="preserve">23. Невикористані кошти на оплату навчання осіб під час реалізації експерименту повертаються Державним центром зайнятості протягом 10 робочих днів після закінчення періоду навчання осіб на рахунок Мінекономіки, відкритий в Казначействі, для подальшого їх повернення </w:t>
      </w:r>
      <w:proofErr w:type="gramStart"/>
      <w:r w:rsidRPr="00A13A45">
        <w:rPr>
          <w:rFonts w:ascii="Times New Roman" w:eastAsia="Times New Roman" w:hAnsi="Times New Roman" w:cs="Times New Roman"/>
          <w:color w:val="333333"/>
          <w:sz w:val="24"/>
          <w:szCs w:val="24"/>
          <w:lang w:eastAsia="ru-RU"/>
        </w:rPr>
        <w:t>до державного бюджету</w:t>
      </w:r>
      <w:proofErr w:type="gramEnd"/>
      <w:r w:rsidRPr="00A13A45">
        <w:rPr>
          <w:rFonts w:ascii="Times New Roman" w:eastAsia="Times New Roman" w:hAnsi="Times New Roman" w:cs="Times New Roman"/>
          <w:color w:val="333333"/>
          <w:sz w:val="24"/>
          <w:szCs w:val="24"/>
          <w:lang w:eastAsia="ru-RU"/>
        </w:rPr>
        <w:t>.</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80"/>
      <w:bookmarkEnd w:id="78"/>
      <w:r w:rsidRPr="00A13A45">
        <w:rPr>
          <w:rFonts w:ascii="Times New Roman" w:eastAsia="Times New Roman" w:hAnsi="Times New Roman" w:cs="Times New Roman"/>
          <w:color w:val="333333"/>
          <w:sz w:val="24"/>
          <w:szCs w:val="24"/>
          <w:lang w:eastAsia="ru-RU"/>
        </w:rPr>
        <w:t>24. Спори, що виникають з питань надання та цільового використання коштів для оплати навчання осіб під час реалізації експерименту, розглядаються в установленому законодавством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1"/>
      <w:bookmarkEnd w:id="79"/>
      <w:r w:rsidRPr="00A13A45">
        <w:rPr>
          <w:rFonts w:ascii="Times New Roman" w:eastAsia="Times New Roman" w:hAnsi="Times New Roman" w:cs="Times New Roman"/>
          <w:color w:val="333333"/>
          <w:sz w:val="24"/>
          <w:szCs w:val="24"/>
          <w:lang w:eastAsia="ru-RU"/>
        </w:rPr>
        <w:t>25. Державний центр зайнятості протягом року проводить моніторинг зайнятості осіб після завершення навчання відповідно до цього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2"/>
      <w:bookmarkEnd w:id="80"/>
      <w:r w:rsidRPr="00A13A45">
        <w:rPr>
          <w:rFonts w:ascii="Times New Roman" w:eastAsia="Times New Roman" w:hAnsi="Times New Roman" w:cs="Times New Roman"/>
          <w:color w:val="333333"/>
          <w:sz w:val="24"/>
          <w:szCs w:val="24"/>
          <w:lang w:eastAsia="ru-RU"/>
        </w:rPr>
        <w:t xml:space="preserve">26. Відображення у первинному та бухгалтерському обліку інформації про отримані (створені) оборотні і необоротні активи, а також відкриття рахунків, реєстрація і облік бюджетних зобов’язань в органах Казначейства та операції, пов’язані з використанням бюджетних коштів, здійснюються </w:t>
      </w:r>
      <w:proofErr w:type="gramStart"/>
      <w:r w:rsidRPr="00A13A45">
        <w:rPr>
          <w:rFonts w:ascii="Times New Roman" w:eastAsia="Times New Roman" w:hAnsi="Times New Roman" w:cs="Times New Roman"/>
          <w:color w:val="333333"/>
          <w:sz w:val="24"/>
          <w:szCs w:val="24"/>
          <w:lang w:eastAsia="ru-RU"/>
        </w:rPr>
        <w:t>в порядку</w:t>
      </w:r>
      <w:proofErr w:type="gramEnd"/>
      <w:r w:rsidRPr="00A13A45">
        <w:rPr>
          <w:rFonts w:ascii="Times New Roman" w:eastAsia="Times New Roman" w:hAnsi="Times New Roman" w:cs="Times New Roman"/>
          <w:color w:val="333333"/>
          <w:sz w:val="24"/>
          <w:szCs w:val="24"/>
          <w:lang w:eastAsia="ru-RU"/>
        </w:rPr>
        <w:t>, встановленому законодавством.</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3"/>
      <w:bookmarkEnd w:id="81"/>
      <w:r w:rsidRPr="00A13A45">
        <w:rPr>
          <w:rFonts w:ascii="Times New Roman" w:eastAsia="Times New Roman" w:hAnsi="Times New Roman" w:cs="Times New Roman"/>
          <w:color w:val="333333"/>
          <w:sz w:val="24"/>
          <w:szCs w:val="24"/>
          <w:lang w:eastAsia="ru-RU"/>
        </w:rPr>
        <w:t>27. Погашення бюджетної кредиторської заборгованості, зареєстрованої в органах Казначейства, та проведення операцій, пов’язаних з використанням бюджетних коштів, здійснюються в установленому законодавством порядку.</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4"/>
      <w:bookmarkEnd w:id="82"/>
      <w:r w:rsidRPr="00A13A45">
        <w:rPr>
          <w:rFonts w:ascii="Times New Roman" w:eastAsia="Times New Roman" w:hAnsi="Times New Roman" w:cs="Times New Roman"/>
          <w:color w:val="333333"/>
          <w:sz w:val="24"/>
          <w:szCs w:val="24"/>
          <w:lang w:eastAsia="ru-RU"/>
        </w:rPr>
        <w:t>28. Мінекономіки після закінчення бюджетного періоду подає Мінфіну інформацію про стан виконання результативних показників з результатами аналізу, поясненнями, висновками щодо їх виконання у визначені законодавством строки.</w:t>
      </w:r>
    </w:p>
    <w:p w:rsidR="00A13A45" w:rsidRPr="00A13A45" w:rsidRDefault="00A13A45" w:rsidP="00A13A4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5"/>
      <w:bookmarkEnd w:id="83"/>
      <w:r w:rsidRPr="00A13A45">
        <w:rPr>
          <w:rFonts w:ascii="Times New Roman" w:eastAsia="Times New Roman" w:hAnsi="Times New Roman" w:cs="Times New Roman"/>
          <w:color w:val="333333"/>
          <w:sz w:val="24"/>
          <w:szCs w:val="24"/>
          <w:lang w:eastAsia="ru-RU"/>
        </w:rPr>
        <w:t>29. Складення та подання фінансової і бюджетної звітності про використання бюджетних коштів, а також контроль за їх цільовим та ефективним використанням здійснюються в установленому законодавством порядку.</w:t>
      </w:r>
    </w:p>
    <w:p w:rsidR="00A34FE2" w:rsidRDefault="00A34FE2">
      <w:bookmarkStart w:id="84" w:name="_GoBack"/>
      <w:bookmarkEnd w:id="84"/>
    </w:p>
    <w:sectPr w:rsidR="00A34FE2" w:rsidSect="00A13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BD"/>
    <w:rsid w:val="00296A74"/>
    <w:rsid w:val="00521EBD"/>
    <w:rsid w:val="0058158C"/>
    <w:rsid w:val="0084528E"/>
    <w:rsid w:val="00A13A45"/>
    <w:rsid w:val="00A3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D5B1-650F-488F-8C10-18023C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13A45"/>
  </w:style>
  <w:style w:type="character" w:customStyle="1" w:styleId="rvts64">
    <w:name w:val="rvts64"/>
    <w:basedOn w:val="a0"/>
    <w:rsid w:val="00A13A45"/>
  </w:style>
  <w:style w:type="character" w:customStyle="1" w:styleId="rvts9">
    <w:name w:val="rvts9"/>
    <w:basedOn w:val="a0"/>
    <w:rsid w:val="00A13A45"/>
  </w:style>
  <w:style w:type="paragraph" w:customStyle="1" w:styleId="rvps6">
    <w:name w:val="rvps6"/>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13A45"/>
  </w:style>
  <w:style w:type="character" w:styleId="a3">
    <w:name w:val="Hyperlink"/>
    <w:basedOn w:val="a0"/>
    <w:uiPriority w:val="99"/>
    <w:semiHidden/>
    <w:unhideWhenUsed/>
    <w:rsid w:val="00A13A45"/>
    <w:rPr>
      <w:color w:val="0000FF"/>
      <w:u w:val="single"/>
    </w:rPr>
  </w:style>
  <w:style w:type="paragraph" w:customStyle="1" w:styleId="rvps4">
    <w:name w:val="rvps4"/>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13A45"/>
  </w:style>
  <w:style w:type="paragraph" w:customStyle="1" w:styleId="rvps15">
    <w:name w:val="rvps15"/>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13A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2710">
      <w:bodyDiv w:val="1"/>
      <w:marLeft w:val="0"/>
      <w:marRight w:val="0"/>
      <w:marTop w:val="0"/>
      <w:marBottom w:val="0"/>
      <w:divBdr>
        <w:top w:val="none" w:sz="0" w:space="0" w:color="auto"/>
        <w:left w:val="none" w:sz="0" w:space="0" w:color="auto"/>
        <w:bottom w:val="none" w:sz="0" w:space="0" w:color="auto"/>
        <w:right w:val="none" w:sz="0" w:space="0" w:color="auto"/>
      </w:divBdr>
      <w:divsChild>
        <w:div w:id="1697150510">
          <w:marLeft w:val="0"/>
          <w:marRight w:val="0"/>
          <w:marTop w:val="0"/>
          <w:marBottom w:val="150"/>
          <w:divBdr>
            <w:top w:val="none" w:sz="0" w:space="0" w:color="auto"/>
            <w:left w:val="none" w:sz="0" w:space="0" w:color="auto"/>
            <w:bottom w:val="none" w:sz="0" w:space="0" w:color="auto"/>
            <w:right w:val="none" w:sz="0" w:space="0" w:color="auto"/>
          </w:divBdr>
        </w:div>
        <w:div w:id="1165822510">
          <w:marLeft w:val="0"/>
          <w:marRight w:val="0"/>
          <w:marTop w:val="0"/>
          <w:marBottom w:val="150"/>
          <w:divBdr>
            <w:top w:val="none" w:sz="0" w:space="0" w:color="auto"/>
            <w:left w:val="none" w:sz="0" w:space="0" w:color="auto"/>
            <w:bottom w:val="none" w:sz="0" w:space="0" w:color="auto"/>
            <w:right w:val="none" w:sz="0" w:space="0" w:color="auto"/>
          </w:divBdr>
        </w:div>
      </w:divsChild>
    </w:div>
    <w:div w:id="792677762">
      <w:bodyDiv w:val="1"/>
      <w:marLeft w:val="0"/>
      <w:marRight w:val="0"/>
      <w:marTop w:val="0"/>
      <w:marBottom w:val="0"/>
      <w:divBdr>
        <w:top w:val="none" w:sz="0" w:space="0" w:color="auto"/>
        <w:left w:val="none" w:sz="0" w:space="0" w:color="auto"/>
        <w:bottom w:val="none" w:sz="0" w:space="0" w:color="auto"/>
        <w:right w:val="none" w:sz="0" w:space="0" w:color="auto"/>
      </w:divBdr>
      <w:divsChild>
        <w:div w:id="812601869">
          <w:marLeft w:val="0"/>
          <w:marRight w:val="0"/>
          <w:marTop w:val="0"/>
          <w:marBottom w:val="150"/>
          <w:divBdr>
            <w:top w:val="none" w:sz="0" w:space="0" w:color="auto"/>
            <w:left w:val="none" w:sz="0" w:space="0" w:color="auto"/>
            <w:bottom w:val="none" w:sz="0" w:space="0" w:color="auto"/>
            <w:right w:val="none" w:sz="0" w:space="0" w:color="auto"/>
          </w:divBdr>
        </w:div>
        <w:div w:id="142434957">
          <w:marLeft w:val="0"/>
          <w:marRight w:val="0"/>
          <w:marTop w:val="0"/>
          <w:marBottom w:val="150"/>
          <w:divBdr>
            <w:top w:val="none" w:sz="0" w:space="0" w:color="auto"/>
            <w:left w:val="none" w:sz="0" w:space="0" w:color="auto"/>
            <w:bottom w:val="none" w:sz="0" w:space="0" w:color="auto"/>
            <w:right w:val="none" w:sz="0" w:space="0" w:color="auto"/>
          </w:divBdr>
        </w:div>
      </w:divsChild>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sChild>
        <w:div w:id="1569268182">
          <w:marLeft w:val="0"/>
          <w:marRight w:val="0"/>
          <w:marTop w:val="0"/>
          <w:marBottom w:val="150"/>
          <w:divBdr>
            <w:top w:val="none" w:sz="0" w:space="0" w:color="auto"/>
            <w:left w:val="none" w:sz="0" w:space="0" w:color="auto"/>
            <w:bottom w:val="none" w:sz="0" w:space="0" w:color="auto"/>
            <w:right w:val="none" w:sz="0" w:space="0" w:color="auto"/>
          </w:divBdr>
        </w:div>
        <w:div w:id="1585915443">
          <w:marLeft w:val="0"/>
          <w:marRight w:val="0"/>
          <w:marTop w:val="0"/>
          <w:marBottom w:val="150"/>
          <w:divBdr>
            <w:top w:val="none" w:sz="0" w:space="0" w:color="auto"/>
            <w:left w:val="none" w:sz="0" w:space="0" w:color="auto"/>
            <w:bottom w:val="none" w:sz="0" w:space="0" w:color="auto"/>
            <w:right w:val="none" w:sz="0" w:space="0" w:color="auto"/>
          </w:divBdr>
        </w:div>
      </w:divsChild>
    </w:div>
    <w:div w:id="2102791616">
      <w:bodyDiv w:val="1"/>
      <w:marLeft w:val="0"/>
      <w:marRight w:val="0"/>
      <w:marTop w:val="0"/>
      <w:marBottom w:val="0"/>
      <w:divBdr>
        <w:top w:val="none" w:sz="0" w:space="0" w:color="auto"/>
        <w:left w:val="none" w:sz="0" w:space="0" w:color="auto"/>
        <w:bottom w:val="none" w:sz="0" w:space="0" w:color="auto"/>
        <w:right w:val="none" w:sz="0" w:space="0" w:color="auto"/>
      </w:divBdr>
      <w:divsChild>
        <w:div w:id="113445981">
          <w:marLeft w:val="0"/>
          <w:marRight w:val="0"/>
          <w:marTop w:val="0"/>
          <w:marBottom w:val="150"/>
          <w:divBdr>
            <w:top w:val="none" w:sz="0" w:space="0" w:color="auto"/>
            <w:left w:val="none" w:sz="0" w:space="0" w:color="auto"/>
            <w:bottom w:val="none" w:sz="0" w:space="0" w:color="auto"/>
            <w:right w:val="none" w:sz="0" w:space="0" w:color="auto"/>
          </w:divBdr>
        </w:div>
        <w:div w:id="4263145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33-14" TargetMode="External"/><Relationship Id="rId13" Type="http://schemas.openxmlformats.org/officeDocument/2006/relationships/hyperlink" Target="https://zakon.rada.gov.ua/laws/show/2232-12" TargetMode="External"/><Relationship Id="rId3" Type="http://schemas.openxmlformats.org/officeDocument/2006/relationships/webSettings" Target="webSettings.xml"/><Relationship Id="rId7" Type="http://schemas.openxmlformats.org/officeDocument/2006/relationships/hyperlink" Target="https://zakon.rada.gov.ua/laws/show/2136-20" TargetMode="External"/><Relationship Id="rId12" Type="http://schemas.openxmlformats.org/officeDocument/2006/relationships/hyperlink" Target="https://zakon.rada.gov.ua/laws/show/737-2022-%D0%BF/pri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504/96-%D0%B2%D1%80" TargetMode="External"/><Relationship Id="rId11" Type="http://schemas.openxmlformats.org/officeDocument/2006/relationships/hyperlink" Target="https://zakon.rada.gov.ua/laws/show/737-2022-%D0%BF/print" TargetMode="External"/><Relationship Id="rId5" Type="http://schemas.openxmlformats.org/officeDocument/2006/relationships/hyperlink" Target="https://zakon.rada.gov.ua/laws/show/737-2022-%D0%BF/print" TargetMode="External"/><Relationship Id="rId15" Type="http://schemas.openxmlformats.org/officeDocument/2006/relationships/fontTable" Target="fontTable.xml"/><Relationship Id="rId10" Type="http://schemas.openxmlformats.org/officeDocument/2006/relationships/hyperlink" Target="https://zakon.rada.gov.ua/laws/show/737-2022-%D0%BF/print" TargetMode="External"/><Relationship Id="rId4" Type="http://schemas.openxmlformats.org/officeDocument/2006/relationships/image" Target="media/image1.gif"/><Relationship Id="rId9" Type="http://schemas.openxmlformats.org/officeDocument/2006/relationships/hyperlink" Target="https://zakon.rada.gov.ua/laws/show/5067-17" TargetMode="External"/><Relationship Id="rId14" Type="http://schemas.openxmlformats.org/officeDocument/2006/relationships/hyperlink" Target="https://zakon.rada.gov.ua/laws/show/35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отг_асус</dc:creator>
  <cp:keywords/>
  <dc:description/>
  <cp:lastModifiedBy>отг_асус</cp:lastModifiedBy>
  <cp:revision>2</cp:revision>
  <dcterms:created xsi:type="dcterms:W3CDTF">2022-08-11T07:33:00Z</dcterms:created>
  <dcterms:modified xsi:type="dcterms:W3CDTF">2022-08-11T07:34:00Z</dcterms:modified>
</cp:coreProperties>
</file>