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12" w:rsidRDefault="001D3A12" w:rsidP="001D3A12">
      <w:pPr>
        <w:jc w:val="center"/>
      </w:pPr>
      <w:r>
        <w:rPr>
          <w:noProof/>
          <w:sz w:val="20"/>
          <w:lang w:val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12" w:rsidRDefault="001D3A12" w:rsidP="001D3A1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УКРАЇНА</w:t>
      </w:r>
    </w:p>
    <w:p w:rsidR="001D3A12" w:rsidRDefault="001D3A12" w:rsidP="001D3A1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ВИКОНАВЧИЙ КОМІТЕТ</w:t>
      </w:r>
    </w:p>
    <w:p w:rsidR="001D3A12" w:rsidRDefault="001D3A12" w:rsidP="001D3A1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1D3A12" w:rsidRDefault="001D3A12" w:rsidP="001D3A1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1D3A12" w:rsidRDefault="001D3A12" w:rsidP="001D3A1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ОДЕСЬКОЇ ОБЛАСТІ</w:t>
      </w:r>
    </w:p>
    <w:p w:rsidR="001D3A12" w:rsidRDefault="001D3A12" w:rsidP="001D3A12">
      <w:pPr>
        <w:tabs>
          <w:tab w:val="left" w:pos="4253"/>
        </w:tabs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D3A12" w:rsidRDefault="001D3A12" w:rsidP="001D3A1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РІШЕННЯ</w:t>
      </w:r>
    </w:p>
    <w:p w:rsidR="001D3A12" w:rsidRDefault="001D3A12" w:rsidP="001D3A12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74031" w:rsidRDefault="001D3A12" w:rsidP="001D3A1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08 квітня 2022 року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№ 57</w:t>
      </w:r>
    </w:p>
    <w:p w:rsidR="009C6C26" w:rsidRPr="00E9707A" w:rsidRDefault="009C6C26" w:rsidP="009C6C26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37C49" w:rsidRDefault="009C6C26" w:rsidP="009C6C26">
      <w:pPr>
        <w:tabs>
          <w:tab w:val="left" w:pos="9356"/>
        </w:tabs>
        <w:ind w:right="396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734503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 до рішення </w:t>
      </w:r>
      <w:proofErr w:type="spellStart"/>
      <w:r w:rsidR="00734503">
        <w:rPr>
          <w:rFonts w:ascii="Times New Roman" w:hAnsi="Times New Roman"/>
          <w:b/>
          <w:sz w:val="24"/>
          <w:szCs w:val="24"/>
          <w:lang w:val="uk-UA"/>
        </w:rPr>
        <w:t>Саф’янівської</w:t>
      </w:r>
      <w:proofErr w:type="spellEnd"/>
      <w:r w:rsidR="00734503">
        <w:rPr>
          <w:rFonts w:ascii="Times New Roman" w:hAnsi="Times New Roman"/>
          <w:b/>
          <w:sz w:val="24"/>
          <w:szCs w:val="24"/>
          <w:lang w:val="uk-UA"/>
        </w:rPr>
        <w:t xml:space="preserve"> сіл</w:t>
      </w:r>
      <w:r w:rsidR="005E7CED">
        <w:rPr>
          <w:rFonts w:ascii="Times New Roman" w:hAnsi="Times New Roman"/>
          <w:b/>
          <w:sz w:val="24"/>
          <w:szCs w:val="24"/>
          <w:lang w:val="uk-UA"/>
        </w:rPr>
        <w:t>ь</w:t>
      </w:r>
      <w:r w:rsidR="00734503">
        <w:rPr>
          <w:rFonts w:ascii="Times New Roman" w:hAnsi="Times New Roman"/>
          <w:b/>
          <w:sz w:val="24"/>
          <w:szCs w:val="24"/>
          <w:lang w:val="uk-UA"/>
        </w:rPr>
        <w:t xml:space="preserve">ської ради Ізмаїльського </w:t>
      </w:r>
      <w:r w:rsidR="00837C49">
        <w:rPr>
          <w:rFonts w:ascii="Times New Roman" w:hAnsi="Times New Roman"/>
          <w:b/>
          <w:sz w:val="24"/>
          <w:szCs w:val="24"/>
          <w:lang w:val="uk-UA"/>
        </w:rPr>
        <w:t>району Одеської області  від 24.12.2021 року № 2384</w:t>
      </w:r>
      <w:r w:rsidR="00734503">
        <w:rPr>
          <w:rFonts w:ascii="Times New Roman" w:hAnsi="Times New Roman"/>
          <w:b/>
          <w:sz w:val="24"/>
          <w:szCs w:val="24"/>
          <w:lang w:val="uk-UA"/>
        </w:rPr>
        <w:t>-</w:t>
      </w:r>
      <w:r w:rsidR="00734503">
        <w:rPr>
          <w:rFonts w:ascii="Times New Roman" w:hAnsi="Times New Roman"/>
          <w:b/>
          <w:sz w:val="24"/>
          <w:szCs w:val="24"/>
        </w:rPr>
        <w:t>VI</w:t>
      </w:r>
      <w:r w:rsidR="00837C49">
        <w:rPr>
          <w:rFonts w:ascii="Times New Roman" w:hAnsi="Times New Roman"/>
          <w:b/>
          <w:sz w:val="24"/>
          <w:szCs w:val="24"/>
          <w:lang w:val="uk-UA"/>
        </w:rPr>
        <w:t>І</w:t>
      </w:r>
      <w:r w:rsidR="00734503">
        <w:rPr>
          <w:rFonts w:ascii="Times New Roman" w:hAnsi="Times New Roman"/>
          <w:b/>
          <w:sz w:val="24"/>
          <w:szCs w:val="24"/>
        </w:rPr>
        <w:t>I</w:t>
      </w:r>
      <w:r w:rsidR="00734503">
        <w:rPr>
          <w:rFonts w:ascii="Times New Roman" w:hAnsi="Times New Roman"/>
          <w:b/>
          <w:sz w:val="24"/>
          <w:szCs w:val="24"/>
          <w:lang w:val="uk-UA"/>
        </w:rPr>
        <w:t xml:space="preserve"> «Про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затвердженняцільової програми </w:t>
      </w:r>
      <w:r w:rsidR="00837C49">
        <w:rPr>
          <w:rFonts w:ascii="Times New Roman" w:hAnsi="Times New Roman"/>
          <w:b/>
          <w:sz w:val="24"/>
          <w:szCs w:val="24"/>
          <w:lang w:val="uk-UA"/>
        </w:rPr>
        <w:t>щодо</w:t>
      </w:r>
      <w:r w:rsidR="00B26486">
        <w:rPr>
          <w:rFonts w:ascii="Times New Roman" w:hAnsi="Times New Roman"/>
          <w:b/>
          <w:sz w:val="24"/>
          <w:szCs w:val="24"/>
          <w:lang w:val="uk-UA"/>
        </w:rPr>
        <w:t xml:space="preserve"> підвищення </w:t>
      </w:r>
      <w:r w:rsidR="00837C49">
        <w:rPr>
          <w:rFonts w:ascii="Times New Roman" w:hAnsi="Times New Roman"/>
          <w:b/>
          <w:sz w:val="24"/>
          <w:szCs w:val="24"/>
          <w:lang w:val="uk-UA"/>
        </w:rPr>
        <w:t>обороноздатності та захисту</w:t>
      </w:r>
    </w:p>
    <w:p w:rsidR="009C6C26" w:rsidRDefault="007F2099" w:rsidP="009C6C26">
      <w:pPr>
        <w:tabs>
          <w:tab w:val="left" w:pos="9356"/>
        </w:tabs>
        <w:ind w:right="396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</w:t>
      </w:r>
      <w:r w:rsidR="00837C49">
        <w:rPr>
          <w:rFonts w:ascii="Times New Roman" w:hAnsi="Times New Roman"/>
          <w:b/>
          <w:sz w:val="24"/>
          <w:szCs w:val="24"/>
          <w:lang w:val="uk-UA"/>
        </w:rPr>
        <w:t xml:space="preserve">ериторіальної цілісності держави </w:t>
      </w:r>
      <w:r w:rsidR="00B26486">
        <w:rPr>
          <w:rFonts w:ascii="Times New Roman" w:hAnsi="Times New Roman"/>
          <w:b/>
          <w:sz w:val="24"/>
          <w:szCs w:val="24"/>
          <w:lang w:val="uk-UA"/>
        </w:rPr>
        <w:t xml:space="preserve">на території </w:t>
      </w:r>
      <w:proofErr w:type="spellStart"/>
      <w:r w:rsidR="00B26486">
        <w:rPr>
          <w:rFonts w:ascii="Times New Roman" w:hAnsi="Times New Roman"/>
          <w:b/>
          <w:sz w:val="24"/>
          <w:szCs w:val="24"/>
          <w:lang w:val="uk-UA"/>
        </w:rPr>
        <w:t>Саф’янівської</w:t>
      </w:r>
      <w:proofErr w:type="spellEnd"/>
      <w:r w:rsidR="00B26486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Ізмаїльського району</w:t>
      </w:r>
      <w:r w:rsidR="002E0638">
        <w:rPr>
          <w:rFonts w:ascii="Times New Roman" w:hAnsi="Times New Roman"/>
          <w:b/>
          <w:sz w:val="24"/>
          <w:szCs w:val="24"/>
          <w:lang w:val="uk-UA"/>
        </w:rPr>
        <w:t xml:space="preserve"> Одеської області</w:t>
      </w:r>
      <w:r w:rsidR="00837C49">
        <w:rPr>
          <w:rFonts w:ascii="Times New Roman" w:hAnsi="Times New Roman"/>
          <w:b/>
          <w:sz w:val="24"/>
          <w:szCs w:val="24"/>
          <w:lang w:val="uk-UA"/>
        </w:rPr>
        <w:t xml:space="preserve"> на 2022 рік</w:t>
      </w:r>
      <w:r w:rsidR="005E7CE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B26486" w:rsidRPr="007D6EAE" w:rsidRDefault="00B26486" w:rsidP="009C6C26">
      <w:pPr>
        <w:tabs>
          <w:tab w:val="left" w:pos="9356"/>
        </w:tabs>
        <w:ind w:right="3968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Pr="00EA52FA" w:rsidRDefault="009C6C26" w:rsidP="00EA354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ст.</w:t>
      </w:r>
      <w:r w:rsidRPr="00EA52FA">
        <w:rPr>
          <w:rFonts w:ascii="Times New Roman" w:hAnsi="Times New Roman"/>
          <w:sz w:val="24"/>
          <w:szCs w:val="24"/>
          <w:lang w:val="uk-UA"/>
        </w:rPr>
        <w:t>26 Закону України «Про місцеве самоврядування в Україні»</w:t>
      </w:r>
      <w:r w:rsidR="003C40E8">
        <w:rPr>
          <w:rFonts w:ascii="Times New Roman" w:hAnsi="Times New Roman"/>
          <w:sz w:val="24"/>
          <w:szCs w:val="24"/>
          <w:lang w:val="uk-UA"/>
        </w:rPr>
        <w:t>,               п.п.2 п.1 Постанови Кабінету</w:t>
      </w:r>
      <w:r w:rsidR="009A2672">
        <w:rPr>
          <w:rFonts w:ascii="Times New Roman" w:hAnsi="Times New Roman"/>
          <w:sz w:val="24"/>
          <w:szCs w:val="24"/>
          <w:lang w:val="uk-UA"/>
        </w:rPr>
        <w:t xml:space="preserve"> Міністрів України від 11.03.2022 р. №252 «Деякі питання формування та виконання місцевих бюджетів у період воєнного стану»</w:t>
      </w:r>
      <w:r w:rsidRPr="00EA52F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з  метою підвищення обороноздатності та захисту територіальної цілісності держави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="002E0638">
        <w:rPr>
          <w:rFonts w:ascii="Times New Roman" w:hAnsi="Times New Roman"/>
          <w:sz w:val="24"/>
          <w:szCs w:val="24"/>
          <w:lang w:val="uk-UA"/>
        </w:rPr>
        <w:t xml:space="preserve"> Ізмаїльського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A2672">
        <w:rPr>
          <w:rFonts w:ascii="Times New Roman" w:hAnsi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EA52FA">
        <w:rPr>
          <w:rFonts w:ascii="Times New Roman" w:hAnsi="Times New Roman"/>
          <w:sz w:val="24"/>
          <w:szCs w:val="24"/>
          <w:lang w:val="uk-UA"/>
        </w:rPr>
        <w:t>С</w:t>
      </w:r>
      <w:r w:rsidR="003C40E8">
        <w:rPr>
          <w:rFonts w:ascii="Times New Roman" w:hAnsi="Times New Roman"/>
          <w:sz w:val="24"/>
          <w:szCs w:val="24"/>
          <w:lang w:val="uk-UA"/>
        </w:rPr>
        <w:t>аф’янівської</w:t>
      </w:r>
      <w:proofErr w:type="spellEnd"/>
      <w:r w:rsidR="003C40E8">
        <w:rPr>
          <w:rFonts w:ascii="Times New Roman" w:hAnsi="Times New Roman"/>
          <w:sz w:val="24"/>
          <w:szCs w:val="24"/>
          <w:lang w:val="uk-UA"/>
        </w:rPr>
        <w:t xml:space="preserve">  сільської ради</w:t>
      </w:r>
      <w:r w:rsidRPr="00EA52FA">
        <w:rPr>
          <w:rFonts w:ascii="Times New Roman" w:hAnsi="Times New Roman"/>
          <w:sz w:val="24"/>
          <w:szCs w:val="24"/>
          <w:lang w:val="uk-UA"/>
        </w:rPr>
        <w:t xml:space="preserve"> Ізмаїльського району Одеської області</w:t>
      </w:r>
    </w:p>
    <w:p w:rsidR="009C6C26" w:rsidRDefault="009C6C26" w:rsidP="009C6C2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837C49" w:rsidP="009C6C2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</w:t>
      </w:r>
      <w:r w:rsidR="009C6C26" w:rsidRPr="00EA52FA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04398" w:rsidRPr="00EA52FA" w:rsidRDefault="00F04398" w:rsidP="009C6C2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1B47A0" w:rsidP="004B3C33">
      <w:pPr>
        <w:overflowPunct/>
        <w:autoSpaceDE/>
        <w:autoSpaceDN/>
        <w:adjustRightInd/>
        <w:ind w:left="993" w:hanging="426"/>
        <w:jc w:val="both"/>
        <w:textAlignment w:val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B3C33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837C49">
        <w:rPr>
          <w:rFonts w:ascii="Times New Roman" w:hAnsi="Times New Roman"/>
          <w:sz w:val="24"/>
          <w:szCs w:val="24"/>
          <w:lang w:val="uk-UA"/>
        </w:rPr>
        <w:t>Внести</w:t>
      </w:r>
      <w:r w:rsidR="007D2608">
        <w:rPr>
          <w:rFonts w:ascii="Times New Roman" w:hAnsi="Times New Roman"/>
          <w:sz w:val="24"/>
          <w:szCs w:val="24"/>
          <w:lang w:val="uk-UA"/>
        </w:rPr>
        <w:t xml:space="preserve">  зміни до  </w:t>
      </w:r>
      <w:r w:rsidR="0021752E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proofErr w:type="spellStart"/>
      <w:r w:rsidR="0021752E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="0021752E">
        <w:rPr>
          <w:rFonts w:ascii="Times New Roman" w:hAnsi="Times New Roman"/>
          <w:sz w:val="24"/>
          <w:szCs w:val="24"/>
          <w:lang w:val="uk-UA"/>
        </w:rPr>
        <w:t xml:space="preserve"> сільської ради Ізмаїльського району О</w:t>
      </w:r>
      <w:r w:rsidR="00837C49">
        <w:rPr>
          <w:rFonts w:ascii="Times New Roman" w:hAnsi="Times New Roman"/>
          <w:sz w:val="24"/>
          <w:szCs w:val="24"/>
          <w:lang w:val="uk-UA"/>
        </w:rPr>
        <w:t>деської області  від 24.12.2021</w:t>
      </w:r>
      <w:r w:rsidR="0021752E">
        <w:rPr>
          <w:rFonts w:ascii="Times New Roman" w:hAnsi="Times New Roman"/>
          <w:sz w:val="24"/>
          <w:szCs w:val="24"/>
          <w:lang w:val="uk-UA"/>
        </w:rPr>
        <w:t>р.</w:t>
      </w:r>
      <w:r w:rsidR="00837C49">
        <w:rPr>
          <w:rFonts w:ascii="Times New Roman" w:hAnsi="Times New Roman"/>
          <w:sz w:val="24"/>
          <w:szCs w:val="24"/>
          <w:lang w:val="uk-UA"/>
        </w:rPr>
        <w:t>№2384</w:t>
      </w:r>
      <w:r w:rsidR="00766C3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766C3E">
        <w:rPr>
          <w:rFonts w:ascii="Times New Roman" w:hAnsi="Times New Roman"/>
          <w:sz w:val="24"/>
          <w:szCs w:val="24"/>
        </w:rPr>
        <w:t>VII</w:t>
      </w:r>
      <w:r w:rsidR="00837C49">
        <w:rPr>
          <w:rFonts w:ascii="Times New Roman" w:hAnsi="Times New Roman"/>
          <w:sz w:val="24"/>
          <w:szCs w:val="24"/>
          <w:lang w:val="uk-UA"/>
        </w:rPr>
        <w:t>І</w:t>
      </w:r>
      <w:r w:rsidR="00766C3E">
        <w:rPr>
          <w:rFonts w:ascii="Times New Roman" w:hAnsi="Times New Roman"/>
          <w:sz w:val="24"/>
          <w:szCs w:val="24"/>
          <w:lang w:val="uk-UA"/>
        </w:rPr>
        <w:t xml:space="preserve"> «Про  затвердження цільової Програми </w:t>
      </w:r>
      <w:r w:rsidR="00837C49">
        <w:rPr>
          <w:rFonts w:ascii="Times New Roman" w:hAnsi="Times New Roman"/>
          <w:sz w:val="24"/>
          <w:szCs w:val="24"/>
          <w:lang w:val="uk-UA"/>
        </w:rPr>
        <w:t xml:space="preserve">щодо підвищення обороноздатності та захисту територіальної цілісності держави </w:t>
      </w:r>
      <w:r w:rsidR="00766C3E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proofErr w:type="spellStart"/>
      <w:r w:rsidR="00766C3E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="00766C3E">
        <w:rPr>
          <w:rFonts w:ascii="Times New Roman" w:hAnsi="Times New Roman"/>
          <w:sz w:val="24"/>
          <w:szCs w:val="24"/>
          <w:lang w:val="uk-UA"/>
        </w:rPr>
        <w:t xml:space="preserve"> сільської ради Ізмаїл</w:t>
      </w:r>
      <w:r w:rsidR="00837C49">
        <w:rPr>
          <w:rFonts w:ascii="Times New Roman" w:hAnsi="Times New Roman"/>
          <w:sz w:val="24"/>
          <w:szCs w:val="24"/>
          <w:lang w:val="uk-UA"/>
        </w:rPr>
        <w:t>ьського району Одеської області на 2022</w:t>
      </w:r>
      <w:r w:rsidR="00766C3E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837C49">
        <w:rPr>
          <w:rFonts w:ascii="Times New Roman" w:hAnsi="Times New Roman"/>
          <w:sz w:val="24"/>
          <w:szCs w:val="24"/>
          <w:lang w:val="uk-UA"/>
        </w:rPr>
        <w:t>ік</w:t>
      </w:r>
      <w:r w:rsidR="0076300F">
        <w:rPr>
          <w:rFonts w:ascii="Times New Roman" w:hAnsi="Times New Roman"/>
          <w:sz w:val="24"/>
          <w:szCs w:val="24"/>
          <w:lang w:val="uk-UA"/>
        </w:rPr>
        <w:t>»</w:t>
      </w:r>
      <w:r w:rsidR="009C6C26" w:rsidRPr="00506BF5">
        <w:rPr>
          <w:rFonts w:ascii="Times New Roman" w:hAnsi="Times New Roman"/>
          <w:sz w:val="24"/>
          <w:szCs w:val="24"/>
          <w:lang w:val="uk-UA"/>
        </w:rPr>
        <w:t>.</w:t>
      </w:r>
      <w:r w:rsidR="006F0294">
        <w:rPr>
          <w:rFonts w:ascii="Times New Roman" w:hAnsi="Times New Roman"/>
          <w:sz w:val="24"/>
          <w:szCs w:val="24"/>
          <w:lang w:val="uk-UA"/>
        </w:rPr>
        <w:t xml:space="preserve"> Затвердити додаток </w:t>
      </w:r>
      <w:r w:rsidR="00DA5918">
        <w:rPr>
          <w:rFonts w:ascii="Times New Roman" w:hAnsi="Times New Roman"/>
          <w:sz w:val="24"/>
          <w:szCs w:val="24"/>
          <w:lang w:val="uk-UA"/>
        </w:rPr>
        <w:t>до Програми</w:t>
      </w:r>
      <w:r w:rsidR="004B3C33" w:rsidRPr="004B3C33">
        <w:rPr>
          <w:rFonts w:ascii="Times New Roman" w:hAnsi="Times New Roman"/>
          <w:sz w:val="24"/>
          <w:szCs w:val="24"/>
          <w:lang w:val="uk-UA"/>
        </w:rPr>
        <w:t xml:space="preserve">«Ресурсне забезпечення Цільової програми щодо підвищення обороноздатності та захисту територіальної цілісності держави та </w:t>
      </w:r>
      <w:proofErr w:type="spellStart"/>
      <w:r w:rsidR="004B3C33" w:rsidRPr="004B3C33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="004B3C33" w:rsidRPr="004B3C33">
        <w:rPr>
          <w:rFonts w:ascii="Times New Roman" w:hAnsi="Times New Roman"/>
          <w:sz w:val="24"/>
          <w:szCs w:val="24"/>
          <w:lang w:val="uk-UA"/>
        </w:rPr>
        <w:t xml:space="preserve"> сільської ради Ізмаїльського району Одеської областіна 2022 рік»</w:t>
      </w:r>
      <w:r w:rsidR="00DA5918">
        <w:rPr>
          <w:rFonts w:ascii="Times New Roman" w:hAnsi="Times New Roman"/>
          <w:sz w:val="24"/>
          <w:szCs w:val="24"/>
          <w:lang w:val="uk-UA"/>
        </w:rPr>
        <w:t xml:space="preserve"> у новій</w:t>
      </w:r>
      <w:r w:rsidR="00766C3E">
        <w:rPr>
          <w:rFonts w:ascii="Times New Roman" w:hAnsi="Times New Roman"/>
          <w:sz w:val="24"/>
          <w:szCs w:val="24"/>
          <w:lang w:val="uk-UA"/>
        </w:rPr>
        <w:t xml:space="preserve"> редакції. </w:t>
      </w:r>
    </w:p>
    <w:p w:rsidR="00B26486" w:rsidRPr="00506BF5" w:rsidRDefault="00B26486" w:rsidP="003249EF">
      <w:pPr>
        <w:tabs>
          <w:tab w:val="left" w:pos="284"/>
        </w:tabs>
        <w:ind w:left="92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6C26" w:rsidRPr="00E63326" w:rsidRDefault="009C6C26" w:rsidP="001B47A0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hanging="361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даного рішення покласти  на постійну депутатську  комісію</w:t>
      </w:r>
      <w:r w:rsidR="001D3A12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</w:t>
      </w:r>
      <w:r w:rsidRPr="009C6C26">
        <w:rPr>
          <w:rFonts w:ascii="Times New Roman" w:hAnsi="Times New Roman" w:hint="eastAsia"/>
          <w:sz w:val="24"/>
          <w:szCs w:val="24"/>
          <w:lang w:val="uk-UA"/>
        </w:rPr>
        <w:t>Ізмаїльського</w:t>
      </w:r>
      <w:r w:rsidR="001D3A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C26">
        <w:rPr>
          <w:rFonts w:ascii="Times New Roman" w:hAnsi="Times New Roman" w:hint="eastAsia"/>
          <w:sz w:val="24"/>
          <w:szCs w:val="24"/>
          <w:lang w:val="uk-UA"/>
        </w:rPr>
        <w:t>району</w:t>
      </w:r>
      <w:r w:rsidR="001D3A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C26">
        <w:rPr>
          <w:rFonts w:ascii="Times New Roman" w:hAnsi="Times New Roman" w:hint="eastAsia"/>
          <w:sz w:val="24"/>
          <w:szCs w:val="24"/>
          <w:lang w:val="uk-UA"/>
        </w:rPr>
        <w:t>Одеської</w:t>
      </w:r>
      <w:r w:rsidR="001D3A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C26">
        <w:rPr>
          <w:rFonts w:ascii="Times New Roman" w:hAnsi="Times New Roman" w:hint="eastAsia"/>
          <w:sz w:val="24"/>
          <w:szCs w:val="24"/>
          <w:lang w:val="uk-UA"/>
        </w:rPr>
        <w:t>області</w:t>
      </w:r>
      <w:r w:rsidR="003249EF">
        <w:rPr>
          <w:sz w:val="24"/>
          <w:szCs w:val="24"/>
          <w:lang w:val="uk-UA"/>
        </w:rPr>
        <w:t xml:space="preserve"> з питань </w:t>
      </w:r>
      <w:r w:rsidR="009376B7">
        <w:rPr>
          <w:sz w:val="24"/>
          <w:szCs w:val="24"/>
          <w:lang w:val="uk-UA"/>
        </w:rPr>
        <w:t>фінан</w:t>
      </w:r>
      <w:r w:rsidR="009376B7">
        <w:rPr>
          <w:rFonts w:ascii="Times New Roman" w:hAnsi="Times New Roman"/>
          <w:sz w:val="24"/>
          <w:szCs w:val="24"/>
          <w:lang w:val="uk-UA"/>
        </w:rPr>
        <w:t>сів, бюджетів, соціально-економічного та інвестиційного розвитку громади.</w:t>
      </w:r>
    </w:p>
    <w:p w:rsidR="009C6C26" w:rsidRDefault="009C6C26" w:rsidP="009C6C26">
      <w:pPr>
        <w:pStyle w:val="a3"/>
        <w:overflowPunct/>
        <w:autoSpaceDE/>
        <w:autoSpaceDN/>
        <w:adjustRightInd/>
        <w:spacing w:after="0"/>
        <w:ind w:left="928"/>
        <w:jc w:val="both"/>
        <w:textAlignment w:val="auto"/>
        <w:rPr>
          <w:rFonts w:ascii="Calibri" w:hAnsi="Calibri"/>
          <w:sz w:val="24"/>
          <w:szCs w:val="24"/>
          <w:lang w:val="uk-UA"/>
        </w:rPr>
      </w:pPr>
    </w:p>
    <w:p w:rsidR="009C6C26" w:rsidRPr="00402088" w:rsidRDefault="009C6C26" w:rsidP="009C6C26">
      <w:pPr>
        <w:pStyle w:val="a3"/>
        <w:overflowPunct/>
        <w:autoSpaceDE/>
        <w:autoSpaceDN/>
        <w:adjustRightInd/>
        <w:spacing w:after="0"/>
        <w:ind w:left="928"/>
        <w:jc w:val="both"/>
        <w:textAlignment w:val="auto"/>
        <w:rPr>
          <w:rFonts w:ascii="Calibri" w:hAnsi="Calibri"/>
          <w:sz w:val="24"/>
          <w:szCs w:val="24"/>
          <w:lang w:val="uk-UA"/>
        </w:rPr>
      </w:pPr>
    </w:p>
    <w:p w:rsidR="009C6C26" w:rsidRPr="00B26486" w:rsidRDefault="009C6C26" w:rsidP="009C6C26">
      <w:pPr>
        <w:pStyle w:val="a3"/>
        <w:overflowPunct/>
        <w:autoSpaceDE/>
        <w:autoSpaceDN/>
        <w:adjustRightInd/>
        <w:spacing w:after="0"/>
        <w:ind w:left="928"/>
        <w:jc w:val="both"/>
        <w:textAlignment w:val="auto"/>
        <w:rPr>
          <w:rFonts w:asciiTheme="minorHAnsi" w:hAnsiTheme="minorHAnsi"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23564">
        <w:rPr>
          <w:rFonts w:ascii="Times New Roman" w:hAnsi="Times New Roman"/>
          <w:b/>
          <w:sz w:val="24"/>
          <w:szCs w:val="24"/>
          <w:lang w:val="uk-UA"/>
        </w:rPr>
        <w:t>Саф</w:t>
      </w:r>
      <w:proofErr w:type="spellEnd"/>
      <w:r w:rsidRPr="00423564">
        <w:rPr>
          <w:rFonts w:ascii="Times New Roman" w:hAnsi="Times New Roman"/>
          <w:b/>
          <w:sz w:val="24"/>
          <w:szCs w:val="24"/>
          <w:lang w:val="ru-RU"/>
        </w:rPr>
        <w:t>’</w:t>
      </w:r>
      <w:proofErr w:type="spellStart"/>
      <w:r w:rsidRPr="00423564">
        <w:rPr>
          <w:rFonts w:ascii="Times New Roman" w:hAnsi="Times New Roman"/>
          <w:b/>
          <w:sz w:val="24"/>
          <w:szCs w:val="24"/>
          <w:lang w:val="uk-UA"/>
        </w:rPr>
        <w:t>янівський</w:t>
      </w:r>
      <w:proofErr w:type="spellEnd"/>
      <w:r w:rsidRPr="00423564">
        <w:rPr>
          <w:rFonts w:ascii="Times New Roman" w:hAnsi="Times New Roman"/>
          <w:b/>
          <w:sz w:val="24"/>
          <w:szCs w:val="24"/>
          <w:lang w:val="uk-UA"/>
        </w:rPr>
        <w:t xml:space="preserve"> сільський голова                                             Наталія ТОДОРОВА</w:t>
      </w: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9C6C26" w:rsidRDefault="009C6C26" w:rsidP="009C6C26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474031" w:rsidRPr="00CD16CA" w:rsidRDefault="00CD16CA" w:rsidP="0047403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D16CA">
        <w:rPr>
          <w:rFonts w:ascii="Times New Roman" w:hAnsi="Times New Roman"/>
          <w:sz w:val="24"/>
          <w:szCs w:val="24"/>
          <w:lang w:val="ru-RU"/>
        </w:rPr>
        <w:lastRenderedPageBreak/>
        <w:t>Додаток</w:t>
      </w:r>
      <w:proofErr w:type="spellEnd"/>
    </w:p>
    <w:p w:rsidR="00474031" w:rsidRPr="00CD16CA" w:rsidRDefault="00CD16CA" w:rsidP="0047403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CD16C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до Програми</w:t>
      </w:r>
    </w:p>
    <w:p w:rsidR="00474031" w:rsidRPr="001D3A12" w:rsidRDefault="00CD16CA" w:rsidP="0047403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3A12">
        <w:rPr>
          <w:rFonts w:ascii="Times New Roman" w:hAnsi="Times New Roman"/>
          <w:sz w:val="24"/>
          <w:szCs w:val="24"/>
          <w:lang w:val="uk-UA"/>
        </w:rPr>
        <w:t xml:space="preserve">Ресурсне забезпечення Цільової програми щодо підвищення обороноздатності та захисту територіальної цілісності держави та </w:t>
      </w:r>
      <w:proofErr w:type="spellStart"/>
      <w:r w:rsidR="00D97F5C" w:rsidRPr="001D3A12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="00D97F5C" w:rsidRPr="001D3A12">
        <w:rPr>
          <w:rFonts w:ascii="Times New Roman" w:hAnsi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D97F5C" w:rsidRPr="001D3A12" w:rsidRDefault="00D67738" w:rsidP="0047403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3A12">
        <w:rPr>
          <w:rFonts w:ascii="Times New Roman" w:hAnsi="Times New Roman"/>
          <w:sz w:val="24"/>
          <w:szCs w:val="24"/>
          <w:lang w:val="uk-UA"/>
        </w:rPr>
        <w:t>на 2022 рік.</w:t>
      </w:r>
    </w:p>
    <w:p w:rsidR="00D67738" w:rsidRPr="001D3A12" w:rsidRDefault="00D67738" w:rsidP="0047403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111"/>
        <w:gridCol w:w="2693"/>
      </w:tblGrid>
      <w:tr w:rsidR="00D97F5C" w:rsidRPr="00D97F5C" w:rsidTr="00B476B2">
        <w:trPr>
          <w:trHeight w:val="1449"/>
        </w:trPr>
        <w:tc>
          <w:tcPr>
            <w:tcW w:w="1134" w:type="dxa"/>
          </w:tcPr>
          <w:p w:rsidR="00D97F5C" w:rsidRPr="00D97F5C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D97F5C">
              <w:rPr>
                <w:rFonts w:ascii="Times New Roman" w:hAnsi="Times New Roman"/>
                <w:szCs w:val="24"/>
                <w:lang w:val="uk-UA"/>
              </w:rPr>
              <w:t>№ з/п</w:t>
            </w:r>
          </w:p>
        </w:tc>
        <w:tc>
          <w:tcPr>
            <w:tcW w:w="4111" w:type="dxa"/>
          </w:tcPr>
          <w:p w:rsidR="00D97F5C" w:rsidRPr="00D97F5C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D97F5C">
              <w:rPr>
                <w:rFonts w:ascii="Times New Roman" w:hAnsi="Times New Roman"/>
                <w:szCs w:val="24"/>
                <w:lang w:val="uk-UA"/>
              </w:rPr>
              <w:t>Потреба забезпечення військової частини А2643</w:t>
            </w:r>
          </w:p>
        </w:tc>
        <w:tc>
          <w:tcPr>
            <w:tcW w:w="2693" w:type="dxa"/>
          </w:tcPr>
          <w:p w:rsidR="00D97F5C" w:rsidRPr="00D97F5C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D97F5C">
              <w:rPr>
                <w:rFonts w:ascii="Times New Roman" w:hAnsi="Times New Roman"/>
                <w:szCs w:val="24"/>
                <w:lang w:val="uk-UA"/>
              </w:rPr>
              <w:t>Сума (грн.)</w:t>
            </w:r>
          </w:p>
        </w:tc>
      </w:tr>
      <w:tr w:rsidR="00D97F5C" w:rsidRPr="00837C49" w:rsidTr="00B476B2">
        <w:tc>
          <w:tcPr>
            <w:tcW w:w="1134" w:type="dxa"/>
            <w:vAlign w:val="center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Автомобільні запчастини</w:t>
            </w:r>
          </w:p>
        </w:tc>
        <w:tc>
          <w:tcPr>
            <w:tcW w:w="2693" w:type="dxa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30 000</w:t>
            </w:r>
          </w:p>
        </w:tc>
      </w:tr>
      <w:tr w:rsidR="00D97F5C" w:rsidRPr="00837C49" w:rsidTr="00B476B2">
        <w:tc>
          <w:tcPr>
            <w:tcW w:w="1134" w:type="dxa"/>
            <w:vAlign w:val="center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Засоби зв’язку</w:t>
            </w:r>
          </w:p>
        </w:tc>
        <w:tc>
          <w:tcPr>
            <w:tcW w:w="2693" w:type="dxa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30 000</w:t>
            </w:r>
          </w:p>
        </w:tc>
      </w:tr>
      <w:tr w:rsidR="00D97F5C" w:rsidRPr="00837C49" w:rsidTr="00B476B2">
        <w:tc>
          <w:tcPr>
            <w:tcW w:w="1134" w:type="dxa"/>
            <w:vAlign w:val="center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Гаражне приладдя</w:t>
            </w:r>
          </w:p>
        </w:tc>
        <w:tc>
          <w:tcPr>
            <w:tcW w:w="2693" w:type="dxa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13 000</w:t>
            </w:r>
          </w:p>
        </w:tc>
      </w:tr>
      <w:tr w:rsidR="00D97F5C" w:rsidRPr="00837C49" w:rsidTr="00B476B2">
        <w:tc>
          <w:tcPr>
            <w:tcW w:w="1134" w:type="dxa"/>
            <w:vAlign w:val="center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1" w:type="dxa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Оптичні прилади</w:t>
            </w:r>
          </w:p>
        </w:tc>
        <w:tc>
          <w:tcPr>
            <w:tcW w:w="2693" w:type="dxa"/>
          </w:tcPr>
          <w:p w:rsidR="00D97F5C" w:rsidRPr="0030726B" w:rsidRDefault="00D97F5C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30 000</w:t>
            </w:r>
          </w:p>
        </w:tc>
      </w:tr>
      <w:tr w:rsidR="00B476B2" w:rsidRPr="00837C49" w:rsidTr="00B476B2">
        <w:tc>
          <w:tcPr>
            <w:tcW w:w="1134" w:type="dxa"/>
            <w:vAlign w:val="center"/>
          </w:tcPr>
          <w:p w:rsidR="00B476B2" w:rsidRPr="0030726B" w:rsidRDefault="00B476B2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1" w:type="dxa"/>
          </w:tcPr>
          <w:p w:rsidR="00B476B2" w:rsidRPr="0030726B" w:rsidRDefault="00B476B2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Комп’ютери та оргтехніка</w:t>
            </w:r>
          </w:p>
        </w:tc>
        <w:tc>
          <w:tcPr>
            <w:tcW w:w="2693" w:type="dxa"/>
          </w:tcPr>
          <w:p w:rsidR="00B476B2" w:rsidRPr="0030726B" w:rsidRDefault="00B476B2" w:rsidP="00B4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26B">
              <w:rPr>
                <w:rFonts w:ascii="Times New Roman" w:hAnsi="Times New Roman"/>
                <w:sz w:val="24"/>
                <w:szCs w:val="24"/>
                <w:lang w:val="uk-UA"/>
              </w:rPr>
              <w:t>27 000</w:t>
            </w:r>
          </w:p>
        </w:tc>
      </w:tr>
      <w:tr w:rsidR="00B476B2" w:rsidTr="00B476B2">
        <w:tblPrEx>
          <w:tblLook w:val="0000"/>
        </w:tblPrEx>
        <w:trPr>
          <w:trHeight w:val="345"/>
        </w:trPr>
        <w:tc>
          <w:tcPr>
            <w:tcW w:w="7938" w:type="dxa"/>
            <w:gridSpan w:val="3"/>
          </w:tcPr>
          <w:p w:rsidR="00B476B2" w:rsidRDefault="00B476B2" w:rsidP="00B476B2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Всього: 130 000грн.</w:t>
            </w:r>
          </w:p>
        </w:tc>
      </w:tr>
    </w:tbl>
    <w:p w:rsidR="009C6C26" w:rsidRDefault="009C6C26" w:rsidP="00D97F5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A37A1B" w:rsidRDefault="00A37A1B" w:rsidP="00D97F5C">
      <w:pPr>
        <w:jc w:val="center"/>
        <w:rPr>
          <w:rFonts w:asciiTheme="minorHAnsi" w:hAnsiTheme="minorHAnsi"/>
          <w:lang w:val="uk-UA"/>
        </w:rPr>
      </w:pPr>
    </w:p>
    <w:p w:rsidR="00765EDF" w:rsidRDefault="00765EDF">
      <w:pPr>
        <w:rPr>
          <w:rFonts w:asciiTheme="minorHAnsi" w:hAnsiTheme="minorHAnsi"/>
          <w:lang w:val="uk-UA"/>
        </w:rPr>
      </w:pPr>
    </w:p>
    <w:p w:rsidR="00765EDF" w:rsidRDefault="00765EDF">
      <w:pPr>
        <w:rPr>
          <w:rFonts w:asciiTheme="minorHAnsi" w:hAnsiTheme="minorHAnsi"/>
          <w:lang w:val="uk-UA"/>
        </w:rPr>
      </w:pPr>
    </w:p>
    <w:p w:rsidR="00765EDF" w:rsidRPr="001D3DD0" w:rsidRDefault="00765EDF" w:rsidP="00377705">
      <w:pPr>
        <w:rPr>
          <w:lang w:val="uk-UA"/>
        </w:rPr>
      </w:pPr>
    </w:p>
    <w:p w:rsidR="00765EDF" w:rsidRPr="0076300F" w:rsidRDefault="00765EDF" w:rsidP="0076300F">
      <w:pPr>
        <w:jc w:val="both"/>
        <w:rPr>
          <w:rFonts w:asciiTheme="minorHAnsi" w:hAnsiTheme="minorHAnsi"/>
          <w:lang w:val="uk-UA"/>
        </w:rPr>
      </w:pPr>
      <w:bookmarkStart w:id="0" w:name="_GoBack"/>
      <w:bookmarkEnd w:id="0"/>
    </w:p>
    <w:sectPr w:rsidR="00765EDF" w:rsidRPr="0076300F" w:rsidSect="007630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_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D74"/>
    <w:multiLevelType w:val="hybridMultilevel"/>
    <w:tmpl w:val="0AC20C84"/>
    <w:lvl w:ilvl="0" w:tplc="49FA79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2BB5"/>
    <w:multiLevelType w:val="hybridMultilevel"/>
    <w:tmpl w:val="98406952"/>
    <w:lvl w:ilvl="0" w:tplc="4B80BDEC">
      <w:start w:val="2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A0D1063"/>
    <w:multiLevelType w:val="hybridMultilevel"/>
    <w:tmpl w:val="CB4E18DC"/>
    <w:lvl w:ilvl="0" w:tplc="72E2D35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BD0908"/>
    <w:multiLevelType w:val="hybridMultilevel"/>
    <w:tmpl w:val="7082853E"/>
    <w:lvl w:ilvl="0" w:tplc="492C7BD0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233"/>
    <w:rsid w:val="000C0439"/>
    <w:rsid w:val="00101763"/>
    <w:rsid w:val="0019544A"/>
    <w:rsid w:val="001A7ADB"/>
    <w:rsid w:val="001B47A0"/>
    <w:rsid w:val="001C74F3"/>
    <w:rsid w:val="001D3A12"/>
    <w:rsid w:val="001D3DD0"/>
    <w:rsid w:val="0021752E"/>
    <w:rsid w:val="002746E4"/>
    <w:rsid w:val="002E0638"/>
    <w:rsid w:val="0030726B"/>
    <w:rsid w:val="003249EF"/>
    <w:rsid w:val="0032677A"/>
    <w:rsid w:val="00327121"/>
    <w:rsid w:val="00376F3C"/>
    <w:rsid w:val="00377705"/>
    <w:rsid w:val="003C40E8"/>
    <w:rsid w:val="00474031"/>
    <w:rsid w:val="004B3C33"/>
    <w:rsid w:val="005209A5"/>
    <w:rsid w:val="005906DD"/>
    <w:rsid w:val="005B6647"/>
    <w:rsid w:val="005E7CED"/>
    <w:rsid w:val="00695EA1"/>
    <w:rsid w:val="006C1A62"/>
    <w:rsid w:val="006F0294"/>
    <w:rsid w:val="007077C4"/>
    <w:rsid w:val="00734503"/>
    <w:rsid w:val="0075519A"/>
    <w:rsid w:val="0076300F"/>
    <w:rsid w:val="00765EDF"/>
    <w:rsid w:val="00766C3E"/>
    <w:rsid w:val="007D2608"/>
    <w:rsid w:val="007F2099"/>
    <w:rsid w:val="00822D67"/>
    <w:rsid w:val="00837C49"/>
    <w:rsid w:val="008F3C81"/>
    <w:rsid w:val="00912233"/>
    <w:rsid w:val="009376B7"/>
    <w:rsid w:val="009A2672"/>
    <w:rsid w:val="009C6C26"/>
    <w:rsid w:val="00A37A1B"/>
    <w:rsid w:val="00A51072"/>
    <w:rsid w:val="00AA5818"/>
    <w:rsid w:val="00B26486"/>
    <w:rsid w:val="00B44044"/>
    <w:rsid w:val="00B476B2"/>
    <w:rsid w:val="00B55CE3"/>
    <w:rsid w:val="00C82B93"/>
    <w:rsid w:val="00CB777E"/>
    <w:rsid w:val="00CD16CA"/>
    <w:rsid w:val="00CF4DDF"/>
    <w:rsid w:val="00D32F28"/>
    <w:rsid w:val="00D554D8"/>
    <w:rsid w:val="00D67738"/>
    <w:rsid w:val="00D73F62"/>
    <w:rsid w:val="00D97F5C"/>
    <w:rsid w:val="00DA5918"/>
    <w:rsid w:val="00EA0716"/>
    <w:rsid w:val="00EA3547"/>
    <w:rsid w:val="00F04398"/>
    <w:rsid w:val="00F357A8"/>
    <w:rsid w:val="00F8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_Bodoni" w:eastAsia="Times New Roman" w:hAnsi="Uk_Bodoni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C26"/>
    <w:pPr>
      <w:spacing w:after="120"/>
    </w:pPr>
  </w:style>
  <w:style w:type="character" w:customStyle="1" w:styleId="a4">
    <w:name w:val="Основной текст Знак"/>
    <w:basedOn w:val="a0"/>
    <w:link w:val="a3"/>
    <w:rsid w:val="009C6C26"/>
    <w:rPr>
      <w:rFonts w:ascii="Uk_Bodoni" w:eastAsia="Times New Roman" w:hAnsi="Uk_Bodoni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3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9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40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4031"/>
    <w:rPr>
      <w:rFonts w:ascii="Uk_Bodoni" w:eastAsia="Times New Roman" w:hAnsi="Uk_Bodoni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Admin</cp:lastModifiedBy>
  <cp:revision>59</cp:revision>
  <cp:lastPrinted>2022-04-06T12:26:00Z</cp:lastPrinted>
  <dcterms:created xsi:type="dcterms:W3CDTF">2022-01-31T08:15:00Z</dcterms:created>
  <dcterms:modified xsi:type="dcterms:W3CDTF">2022-04-08T11:56:00Z</dcterms:modified>
</cp:coreProperties>
</file>