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6C0" w:rsidRDefault="007A46C0"/>
    <w:p w:rsidR="007A46C0" w:rsidRPr="007A46C0" w:rsidRDefault="007A46C0" w:rsidP="007A46C0"/>
    <w:p w:rsidR="007A46C0" w:rsidRPr="005221C9" w:rsidRDefault="007A46C0" w:rsidP="007A46C0">
      <w:pPr>
        <w:rPr>
          <w:lang w:val="uk-UA"/>
        </w:rPr>
      </w:pPr>
    </w:p>
    <w:p w:rsidR="007A46C0" w:rsidRPr="005221C9" w:rsidRDefault="007A46C0" w:rsidP="00874E5D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A46C0" w:rsidRPr="005221C9" w:rsidRDefault="007A46C0" w:rsidP="007A46C0">
      <w:pPr>
        <w:tabs>
          <w:tab w:val="center" w:pos="5031"/>
        </w:tabs>
        <w:ind w:firstLine="708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A46C0" w:rsidRPr="005221C9" w:rsidRDefault="007A46C0" w:rsidP="001D43CF">
      <w:pPr>
        <w:tabs>
          <w:tab w:val="center" w:pos="5031"/>
        </w:tabs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221C9">
        <w:rPr>
          <w:rFonts w:ascii="Times New Roman" w:hAnsi="Times New Roman" w:cs="Times New Roman"/>
          <w:b/>
          <w:sz w:val="32"/>
          <w:szCs w:val="32"/>
          <w:lang w:val="uk-UA"/>
        </w:rPr>
        <w:t>Прогноз</w:t>
      </w:r>
    </w:p>
    <w:p w:rsidR="002819FF" w:rsidRPr="005221C9" w:rsidRDefault="002819FF" w:rsidP="001D43CF">
      <w:pPr>
        <w:tabs>
          <w:tab w:val="center" w:pos="5031"/>
        </w:tabs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221C9">
        <w:rPr>
          <w:rFonts w:ascii="Times New Roman" w:hAnsi="Times New Roman" w:cs="Times New Roman"/>
          <w:b/>
          <w:sz w:val="32"/>
          <w:szCs w:val="32"/>
          <w:lang w:val="uk-UA"/>
        </w:rPr>
        <w:t>Бюджету Саф</w:t>
      </w:r>
      <w:r w:rsidRPr="005221C9">
        <w:rPr>
          <w:rFonts w:ascii="Calibri" w:hAnsi="Calibri" w:cs="Calibri"/>
          <w:b/>
          <w:sz w:val="32"/>
          <w:szCs w:val="32"/>
          <w:lang w:val="uk-UA"/>
        </w:rPr>
        <w:t>'</w:t>
      </w:r>
      <w:r w:rsidRPr="005221C9">
        <w:rPr>
          <w:rFonts w:ascii="Times New Roman" w:hAnsi="Times New Roman" w:cs="Times New Roman"/>
          <w:b/>
          <w:sz w:val="32"/>
          <w:szCs w:val="32"/>
          <w:lang w:val="uk-UA"/>
        </w:rPr>
        <w:t>янівської територіальної громади</w:t>
      </w:r>
    </w:p>
    <w:p w:rsidR="007A46C0" w:rsidRPr="005221C9" w:rsidRDefault="002819FF" w:rsidP="001D43CF">
      <w:pPr>
        <w:tabs>
          <w:tab w:val="center" w:pos="5031"/>
        </w:tabs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221C9">
        <w:rPr>
          <w:rFonts w:ascii="Times New Roman" w:hAnsi="Times New Roman" w:cs="Times New Roman"/>
          <w:b/>
          <w:sz w:val="32"/>
          <w:szCs w:val="32"/>
          <w:lang w:val="uk-UA"/>
        </w:rPr>
        <w:t>Ізмаїльського району Одеської області</w:t>
      </w:r>
    </w:p>
    <w:p w:rsidR="002819FF" w:rsidRPr="005221C9" w:rsidRDefault="002819FF" w:rsidP="001D43CF">
      <w:pPr>
        <w:tabs>
          <w:tab w:val="center" w:pos="5031"/>
        </w:tabs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221C9">
        <w:rPr>
          <w:rFonts w:ascii="Times New Roman" w:hAnsi="Times New Roman" w:cs="Times New Roman"/>
          <w:b/>
          <w:sz w:val="32"/>
          <w:szCs w:val="32"/>
          <w:lang w:val="uk-UA"/>
        </w:rPr>
        <w:t>на 2022-202</w:t>
      </w:r>
      <w:r w:rsidR="000F72ED">
        <w:rPr>
          <w:rFonts w:ascii="Times New Roman" w:hAnsi="Times New Roman" w:cs="Times New Roman"/>
          <w:b/>
          <w:sz w:val="32"/>
          <w:szCs w:val="32"/>
          <w:lang w:val="uk-UA"/>
        </w:rPr>
        <w:t>4</w:t>
      </w:r>
      <w:r w:rsidRPr="005221C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роки</w:t>
      </w:r>
    </w:p>
    <w:p w:rsidR="002819FF" w:rsidRPr="005221C9" w:rsidRDefault="002819FF" w:rsidP="001D43CF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221C9">
        <w:rPr>
          <w:rFonts w:ascii="Times New Roman" w:hAnsi="Times New Roman" w:cs="Times New Roman"/>
          <w:b/>
          <w:sz w:val="32"/>
          <w:szCs w:val="32"/>
          <w:lang w:val="uk-UA"/>
        </w:rPr>
        <w:t>(15575000000)</w:t>
      </w:r>
    </w:p>
    <w:p w:rsidR="002819FF" w:rsidRPr="005221C9" w:rsidRDefault="002819FF" w:rsidP="001D43CF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b/>
          <w:sz w:val="24"/>
          <w:szCs w:val="24"/>
          <w:lang w:val="uk-UA"/>
        </w:rPr>
        <w:t>І.Загальна частина</w:t>
      </w:r>
    </w:p>
    <w:p w:rsidR="009F6F8B" w:rsidRPr="005221C9" w:rsidRDefault="009F6F8B" w:rsidP="009F6F8B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 xml:space="preserve">Прогноз бюджету Саф’янівської  сільської  територіальної громади на 2022 </w:t>
      </w:r>
      <w:r w:rsidR="000F72ED" w:rsidRPr="000F72ED">
        <w:rPr>
          <w:rFonts w:ascii="Times New Roman" w:hAnsi="Times New Roman" w:cs="Times New Roman"/>
          <w:sz w:val="24"/>
          <w:szCs w:val="24"/>
        </w:rPr>
        <w:t>-</w:t>
      </w:r>
      <w:r w:rsidRPr="005221C9">
        <w:rPr>
          <w:rFonts w:ascii="Times New Roman" w:hAnsi="Times New Roman" w:cs="Times New Roman"/>
          <w:sz w:val="24"/>
          <w:szCs w:val="24"/>
        </w:rPr>
        <w:t xml:space="preserve"> 202</w:t>
      </w:r>
      <w:r w:rsidR="000F72ED" w:rsidRPr="000F72ED">
        <w:rPr>
          <w:rFonts w:ascii="Times New Roman" w:hAnsi="Times New Roman" w:cs="Times New Roman"/>
          <w:sz w:val="24"/>
          <w:szCs w:val="24"/>
        </w:rPr>
        <w:t>4</w:t>
      </w:r>
      <w:r w:rsidRPr="005221C9">
        <w:rPr>
          <w:rFonts w:ascii="Times New Roman" w:hAnsi="Times New Roman" w:cs="Times New Roman"/>
          <w:sz w:val="24"/>
          <w:szCs w:val="24"/>
        </w:rPr>
        <w:t xml:space="preserve"> роки (далі- Прогноз) розроблено на основі положень Бюджетного кодексу України, Податкового кодексу України, постанови Кабінету Міністрів України від                 29 липня 2020 року №671 «Про схвалення Прогнозу економічного і соціального розвитку України на 2021-2023 роки», Стратегії розвитку Одеської області на 2021-2027 роки, затвердженої рішенням Одеської обласної ради від 03 березня 2020 року              № 1228-VII  та сільських  цільових програм. </w:t>
      </w:r>
    </w:p>
    <w:p w:rsidR="009F6F8B" w:rsidRPr="005221C9" w:rsidRDefault="009F6F8B" w:rsidP="009F6F8B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 xml:space="preserve">Мета Прогнозу – створення дієвого механізму управління бюджетним процесом, встановлення зв’язку між стратегічними цілями та можливостями бюджету у середньостроковій перспективі, забезпечення прозорості, передбачуваності та послідовності бюджетної політики . </w:t>
      </w:r>
    </w:p>
    <w:p w:rsidR="009F6F8B" w:rsidRPr="005221C9" w:rsidRDefault="009F6F8B" w:rsidP="009F6F8B">
      <w:pPr>
        <w:pStyle w:val="a3"/>
        <w:ind w:firstLine="696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Основні завдання Прогнозу: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забезпечення виконання доходної частини бюджету Саф’янівської територіальної громади відповідно до показників, затверджених Саф’янівської сільською радою;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вжиття заходів щодо залучення додаткових надходжень до бюджету Саф’янівської територіальної громади, зокрема шляхом забезпечення ефективного управління об’єктами комунальної власності;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планування пріоритетних цілей та завдань, визначених Стратегією розвитку Одеської області;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підвищення ефективності управління бюджетними коштами шляхом  застосування дієвих методів економії, здійснення оптимізації витрат шляхом виключення непріоритетних та неефективних видатків;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використання фінансових ресурсів таким чином, щоб отримати максимальний економічний ефект і вирішити найбільш нагальні та важливі завдання щодо покращення добробуту та якості життя населення;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забезпечення  стабільного функціонування бюджетних установ та виконання заходів, передбачених сільськими цільовими програмами;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lastRenderedPageBreak/>
        <w:t>вжиття дієвих заходів щодо трансформування мережі бюджетних установ для забезпечення надання якісних послуг;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стимулювання інвестиційно-інноваційної складової бюджету розвитку бюджету Саф’янівської сільської територіальної  громади.</w:t>
      </w:r>
    </w:p>
    <w:p w:rsidR="009F6F8B" w:rsidRPr="005221C9" w:rsidRDefault="009F6F8B" w:rsidP="007D730F">
      <w:pPr>
        <w:ind w:left="426" w:firstLine="99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Серед основних принципів середньострокового бюджетного прогнозування, на яких базується Прогноз, є принцип збалансованості, обґрунтованості, ефективності  та результативності. </w:t>
      </w:r>
    </w:p>
    <w:p w:rsidR="009F6F8B" w:rsidRPr="005221C9" w:rsidRDefault="009F6F8B" w:rsidP="009F6F8B">
      <w:pPr>
        <w:ind w:left="708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Можливими ризиками невиконання прогнозних показників є: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зниження обсягів надходжень інвестицій в економіку громади та згортання компаніями інвестиційних планів або перенесення строків їх реалізації на майбутній період;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поширення неплатоспроможності реального сектору економіки;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ризик нової хвилі дестабілізації у банківському секторі;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збереження низької кредиторської активності комерційних банків, неможливість відновлення довгострокового кредитування малого та середнього бізнесу;</w:t>
      </w:r>
    </w:p>
    <w:p w:rsidR="009F6F8B" w:rsidRPr="009D2269" w:rsidRDefault="009F6F8B" w:rsidP="009D22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2269">
        <w:rPr>
          <w:rFonts w:ascii="Times New Roman" w:hAnsi="Times New Roman" w:cs="Times New Roman"/>
          <w:sz w:val="24"/>
          <w:szCs w:val="24"/>
        </w:rPr>
        <w:t>погіршення макроекономічної ситуації внаслідок обмеження економічної діяльності у 2020-2021 роках через запровадження карантину для запобігання поширенню коронавірусного захворювання COVID-19  та вплив негативних чинників на фінансовий ринок, економіку країни в цілому та соціально-економічний розвиток громади стан державних та місцевих фінансів;</w:t>
      </w:r>
    </w:p>
    <w:p w:rsidR="009F6F8B" w:rsidRPr="005221C9" w:rsidRDefault="009F6F8B" w:rsidP="009F6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вплив негативних чинників на фінансовий ринок і невисока ділова активність в окремих секторах економіки, що негативно впливає на потенціал зростання й платоспроможність економічних суб’єктів тощо.</w:t>
      </w:r>
    </w:p>
    <w:p w:rsidR="000F72ED" w:rsidRPr="000F72ED" w:rsidRDefault="000F72ED" w:rsidP="000F72ED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2ED">
        <w:rPr>
          <w:rFonts w:ascii="Times New Roman" w:hAnsi="Times New Roman" w:cs="Times New Roman"/>
          <w:b/>
          <w:sz w:val="24"/>
          <w:szCs w:val="24"/>
        </w:rPr>
        <w:t>ІІ. Основні прогнозні показники економічного та соціального розвитку.</w:t>
      </w:r>
    </w:p>
    <w:p w:rsidR="009F6F8B" w:rsidRPr="005221C9" w:rsidRDefault="009F6F8B" w:rsidP="001C0411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ab/>
        <w:t>Головними інстр</w:t>
      </w:r>
      <w:r w:rsidR="001C0411">
        <w:rPr>
          <w:rFonts w:ascii="Times New Roman" w:hAnsi="Times New Roman" w:cs="Times New Roman"/>
          <w:sz w:val="24"/>
          <w:szCs w:val="24"/>
          <w:lang w:val="uk-UA"/>
        </w:rPr>
        <w:t>ументами регулювання соціально-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економічного розвитку та раціонального використання наявних ресурсів є стратегічне планування.</w:t>
      </w:r>
    </w:p>
    <w:p w:rsidR="009F6F8B" w:rsidRPr="005221C9" w:rsidRDefault="009D2269" w:rsidP="00B1537E">
      <w:pPr>
        <w:ind w:left="-142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Основу нормативно-</w:t>
      </w:r>
      <w:r w:rsidR="009F6F8B" w:rsidRPr="005221C9">
        <w:rPr>
          <w:rFonts w:ascii="Times New Roman" w:hAnsi="Times New Roman" w:cs="Times New Roman"/>
          <w:sz w:val="24"/>
          <w:szCs w:val="24"/>
          <w:lang w:val="uk-UA"/>
        </w:rPr>
        <w:t>правового забезпечення стратегічного планування соціально- економічного розвитку громади становлять, зокрема: Закон України « Про державне прогнозування та розроблення програм економічного і соціального розвитку України», Бюджетний кодекс України та постанова Кабінету Міністрів України від 26 квітня 2003 року № 621 «Про розроблення прогнозних і програмних документів економічного і соціального розвитку  та складання  проектів Бюджетної декларації  та державного бюджету».</w:t>
      </w:r>
    </w:p>
    <w:p w:rsidR="009F6F8B" w:rsidRDefault="009F6F8B" w:rsidP="001C0411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ab/>
        <w:t>Прогноз розвитку Саф’янівської територіальної громади на середньостроковий період підготовлено відповідно до положень   постанови Кабінету Міністрів України від 29 липня 2020 року №671 «Про схвалення Прогнозу економічного і соціального розвитку України на 2021-2023 роки» та  Стратегії розвитку Одеської області на 2021-2027 роки.</w:t>
      </w:r>
    </w:p>
    <w:p w:rsidR="00970FD4" w:rsidRPr="005221C9" w:rsidRDefault="00970FD4" w:rsidP="00970FD4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Основною галуззю економіки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ради є сільське господарство.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Розвиток </w:t>
      </w:r>
      <w:r w:rsidR="00B1537E">
        <w:rPr>
          <w:rFonts w:ascii="Times New Roman" w:hAnsi="Times New Roman" w:cs="Times New Roman"/>
          <w:sz w:val="24"/>
          <w:szCs w:val="24"/>
          <w:lang w:val="uk-UA"/>
        </w:rPr>
        <w:t xml:space="preserve">цієї </w:t>
      </w:r>
      <w:r>
        <w:rPr>
          <w:rFonts w:ascii="Times New Roman" w:hAnsi="Times New Roman" w:cs="Times New Roman"/>
          <w:sz w:val="24"/>
          <w:szCs w:val="24"/>
          <w:lang w:val="uk-UA"/>
        </w:rPr>
        <w:t>галуззі -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запорук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рівня та покращення життя населення та продовольчої безпеки. Аграрний сектор спеціалізується на вирощуванні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сільськогосподарських рослин,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зерна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яких виробля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ються крупи: пшениці, ячменя,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гречаних культур, а також </w:t>
      </w:r>
      <w:r>
        <w:rPr>
          <w:rFonts w:ascii="Times New Roman" w:hAnsi="Times New Roman" w:cs="Times New Roman"/>
          <w:sz w:val="24"/>
          <w:szCs w:val="24"/>
          <w:lang w:val="uk-UA"/>
        </w:rPr>
        <w:t>овочів, винограду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 плодів.  Основним напрямком у рослинництві є вирощування зерна.</w:t>
      </w:r>
    </w:p>
    <w:p w:rsidR="00970FD4" w:rsidRPr="006E45A3" w:rsidRDefault="00970FD4" w:rsidP="00970FD4">
      <w:pPr>
        <w:shd w:val="clear" w:color="auto" w:fill="FFFFFF"/>
        <w:spacing w:after="0" w:line="33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E3FFE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Найбільшими сільськог</w:t>
      </w:r>
      <w:r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осподарськими підприємствами, які</w:t>
      </w:r>
      <w:r w:rsidRPr="00EE3FFE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здійснюють діяльність на території громади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EE3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ПрАТ АК «СВОБОДА»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1C04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ТОВ «Агропрайм Холдинг», ФГ «Дінекс-Агро»,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ПП «Дінекс-Трейд», ФГ «Промінь»</w:t>
      </w: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70FD4" w:rsidRPr="006E45A3" w:rsidRDefault="00970FD4" w:rsidP="00970F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Одним з позитивних чинників поліпшення сільгоспвиробництва в громаді є збереження селекційної бази. На 2021 рік 3 сільгосппідприємств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були атестовані і внесені до державного реєстру виробників репродуктивного насіння. Виробниками насіннєвого матеріалу є ПП «Агро Віта», ПП «Югагросервіс», які покривають потребу насіння кукурудзи в громаді та </w:t>
      </w:r>
      <w:r w:rsidRPr="006E45A3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ПАФ «Інтер Агротех СВ», що виробляє насіння овочевих культур. </w:t>
      </w:r>
    </w:p>
    <w:p w:rsidR="00970FD4" w:rsidRPr="006E45A3" w:rsidRDefault="00970FD4" w:rsidP="00970F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Активно розвивається виробництво органічної продукції, на площі більш ніж 2 тис. га ТОВ «Дунайський Аграрій» вирощує зернові, технічні та баштанні культури, овочі та фрукти, лікарські трави. </w:t>
      </w:r>
    </w:p>
    <w:p w:rsidR="00970FD4" w:rsidRPr="006E45A3" w:rsidRDefault="00970FD4" w:rsidP="0097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Територія </w:t>
      </w:r>
      <w:bookmarkStart w:id="0" w:name="_Hlk74232032"/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Саф’янівської сільської рад</w:t>
      </w:r>
      <w:bookmarkEnd w:id="0"/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знаходиться в умовах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несприятливого водного режиму. </w:t>
      </w: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Вирішальним фактором розвитку сільськогосподарського виробництва у нашому регіоні, який істотно впливає на врожайніс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ть, є зрошення сільгоспкультур. </w:t>
      </w: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Зрошуване землеробство дає великий резерв по збільшенню валових зборів сільськогосподарської продукції в умовах недостатнього зволоження. </w:t>
      </w:r>
    </w:p>
    <w:p w:rsidR="00970FD4" w:rsidRPr="006E45A3" w:rsidRDefault="00970FD4" w:rsidP="0097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Щороку сільгоспвиробники громади збільшують площу поливу понад 100 га.  На сьогодення зрошено 3,3 тис. га фізичної площі. </w:t>
      </w:r>
      <w:bookmarkStart w:id="1" w:name="_Hlk78286834"/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підвищення ефективності використання зрошуваних земель в громаді впроваджуються ресурсозберігаючі технології, сучасні засоби поливу (крапельне зрошення, відновлюється полив низьконапірними </w:t>
      </w:r>
      <w:bookmarkStart w:id="2" w:name="_Hlk78290548"/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дощувальним</w:t>
      </w:r>
      <w:bookmarkEnd w:id="2"/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машинами </w:t>
      </w:r>
      <w:bookmarkStart w:id="3" w:name="_Hlk78290573"/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«Фрегат» 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кількості 28 од.). 12 </w:t>
      </w: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одиниць дощувальних установок «Фрегат» придбані за останні 3 роки ( одна у поточному році) на суму більше 23 млн. грн., це значні капіталовкладення в розвиток зрошення на території громади.</w:t>
      </w:r>
      <w:bookmarkEnd w:id="1"/>
    </w:p>
    <w:p w:rsidR="00970FD4" w:rsidRPr="006E45A3" w:rsidRDefault="00970FD4" w:rsidP="00970FD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</w:pPr>
      <w:r w:rsidRPr="006E45A3"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  <w:t xml:space="preserve">            Динамічно розвівається рибна галузь. В поточному році в АРК "Придунайська Нива" був відкритий найбільший в масштабах країни виробничий об'єкт рибодобувної промисловості - інкубаційний цех по вирощуванню промислових порід риб, який представляє повний цикл виробництва риби.</w:t>
      </w:r>
    </w:p>
    <w:p w:rsidR="00970FD4" w:rsidRPr="006E45A3" w:rsidRDefault="00970FD4" w:rsidP="00970FD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</w:pPr>
      <w:r w:rsidRPr="006E45A3"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  <w:t xml:space="preserve">           В липні місяці 2021 року планувалось ввести в дію другу лінію, в програму якої входить вирощування осетрових порід риби.</w:t>
      </w:r>
    </w:p>
    <w:p w:rsidR="00970FD4" w:rsidRPr="006E45A3" w:rsidRDefault="00970FD4" w:rsidP="00970FD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</w:pPr>
      <w:r w:rsidRPr="006E45A3"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  <w:t xml:space="preserve">           АРК "Придунайська Нива" вклала в створення свого інкубаційного цеху 7 мільйонів гривень.</w:t>
      </w:r>
    </w:p>
    <w:p w:rsidR="00970FD4" w:rsidRPr="006E45A3" w:rsidRDefault="00970FD4" w:rsidP="00970FD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</w:pPr>
      <w:r w:rsidRPr="006E45A3">
        <w:rPr>
          <w:rFonts w:ascii="inherit" w:eastAsia="Times New Roman" w:hAnsi="inherit" w:cs="Courier New"/>
          <w:color w:val="202124"/>
          <w:sz w:val="24"/>
          <w:szCs w:val="24"/>
          <w:lang w:val="uk-UA" w:eastAsia="ru-RU"/>
        </w:rPr>
        <w:t xml:space="preserve">          Кооператив планує розширити виробництво має чітку стратегію свого майбутнього на кілька років вперед.</w:t>
      </w:r>
    </w:p>
    <w:p w:rsidR="00970FD4" w:rsidRPr="006E45A3" w:rsidRDefault="00970FD4" w:rsidP="0097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</w:pPr>
      <w:r w:rsidRPr="006E45A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Промисловість представлена підприємствами з виробництва хлібопекарської та борошномельної продукції.</w:t>
      </w:r>
    </w:p>
    <w:p w:rsidR="00970FD4" w:rsidRPr="006E45A3" w:rsidRDefault="00970FD4" w:rsidP="00970F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Торгівельна мережа налічує 225 торгових об'єктів: з яких 202 магазина і 23 підприємства ресторанного господарства. Споживчий ринок представлений 15 об'єктами побутового обслуговування населення.</w:t>
      </w:r>
    </w:p>
    <w:p w:rsidR="00970FD4" w:rsidRDefault="00970FD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0105" w:rsidRDefault="00BA0105" w:rsidP="00BA0105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Очікувані результати:</w:t>
      </w:r>
    </w:p>
    <w:p w:rsidR="00BA0105" w:rsidRPr="006E45A3" w:rsidRDefault="00BA0105" w:rsidP="00BA0105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BA0105" w:rsidRPr="006E45A3" w:rsidRDefault="00BA0105" w:rsidP="00BA01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Виробництво валової продукції в 2022 році 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новитиме 268,3 млн. грн., в  т.</w:t>
      </w: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рослинництво – 239,1 млн. грн., тваринництво – 29,2 млн. грн.</w:t>
      </w:r>
    </w:p>
    <w:p w:rsidR="00BA0105" w:rsidRPr="006E45A3" w:rsidRDefault="00BA0105" w:rsidP="00BA01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Валовий збір зерна очікується у розмірі 98 тис. т, соняшника 13,2 тис. т, овочів 14,0 тис. т, винограду 5,7 тис. т, плодів – 2,5 тис. т. Виробництво продукції тваринництва у 2021 році по всіх категоріях господарств очікується: м'яса – 1,4 тис. т, молока – 3,4 тис. т, яєць – 11,8 млн. шт.</w:t>
      </w:r>
    </w:p>
    <w:p w:rsidR="00BA0105" w:rsidRPr="006E45A3" w:rsidRDefault="00BA0105" w:rsidP="00BA01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77 сільськогосподарських підприємств сільської територіальної громади орендують 39 тис. га землі. За оренду земельних паїв сільськогосподарськими підприємствами у 2022 році планується виплатити орендної плати більше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ніж </w:t>
      </w: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 млн. грн.</w:t>
      </w:r>
    </w:p>
    <w:p w:rsidR="00BA0105" w:rsidRPr="006E45A3" w:rsidRDefault="00BA0105" w:rsidP="00BA01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Пріоритетним завданням на 2022-2023рр. є відновлення зрошення на площі 7,1 тис. га.</w:t>
      </w:r>
    </w:p>
    <w:p w:rsidR="00BA0105" w:rsidRPr="006E45A3" w:rsidRDefault="00BA0105" w:rsidP="00BA01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Також, планується розпочати роботу з розроблення інвестиційних проектів щодо розширення діючих виробництв та запровадження сучасних технологій. </w:t>
      </w:r>
    </w:p>
    <w:p w:rsidR="00BA0105" w:rsidRDefault="00BA0105" w:rsidP="00BA01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Прогнозні показники розвитку сільськогосподарського виробництва громади визначені з урахуванням виробничого потенціалу, об’єктивних обставин, що склалися в забезпеченні галузі матеріально-технічними ресурсами.</w:t>
      </w:r>
    </w:p>
    <w:p w:rsidR="00BA0105" w:rsidRPr="006E45A3" w:rsidRDefault="00BA0105" w:rsidP="00BA0105">
      <w:pPr>
        <w:widowControl w:val="0"/>
        <w:tabs>
          <w:tab w:val="left" w:pos="7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Пріоритетними напрям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к</w:t>
      </w:r>
      <w:r w:rsidRPr="006E45A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ами та завданнями в сфері економічного розвитку на 2022-202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4</w:t>
      </w:r>
      <w:r w:rsidRPr="006E45A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рік є:</w:t>
      </w:r>
    </w:p>
    <w:p w:rsidR="00BA0105" w:rsidRPr="006E45A3" w:rsidRDefault="00BA0105" w:rsidP="00BA01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- забезпечення функціонування діючих промислових підприємств;</w:t>
      </w:r>
    </w:p>
    <w:p w:rsidR="00BA0105" w:rsidRPr="006E45A3" w:rsidRDefault="00BA0105" w:rsidP="00BA01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стабілізація та відновлення промислового виробництва;</w:t>
      </w:r>
    </w:p>
    <w:p w:rsidR="00BA0105" w:rsidRPr="006E45A3" w:rsidRDefault="00BA0105" w:rsidP="00BA01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-поліпшення ресурсного забезпечення сільськогосподарського виробництва, поповнення парку зернозбиральної техніки;</w:t>
      </w:r>
    </w:p>
    <w:p w:rsidR="00BA0105" w:rsidRPr="006E45A3" w:rsidRDefault="00BA0105" w:rsidP="00BA0105">
      <w:pPr>
        <w:tabs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сприяння розвитку зрошуваного землеробства;</w:t>
      </w:r>
    </w:p>
    <w:p w:rsidR="00BA0105" w:rsidRPr="006E45A3" w:rsidRDefault="00BA0105" w:rsidP="00BA0105">
      <w:pPr>
        <w:tabs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застосування новітніх технологій вирощування сільськогосподарських культур та впровадження високопродуктивних сортів рослин;</w:t>
      </w:r>
    </w:p>
    <w:p w:rsidR="00BA0105" w:rsidRPr="006E45A3" w:rsidRDefault="00BA0105" w:rsidP="00BA0105">
      <w:pPr>
        <w:tabs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стабілізація та розвиток тваринницької галузі;</w:t>
      </w:r>
    </w:p>
    <w:p w:rsidR="00BA0105" w:rsidRPr="006E45A3" w:rsidRDefault="00BA0105" w:rsidP="00BA0105">
      <w:pPr>
        <w:widowControl w:val="0"/>
        <w:tabs>
          <w:tab w:val="left" w:pos="993"/>
          <w:tab w:val="left" w:pos="1080"/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створення сприятливих умов для розвитку малого та середнього підприємництва.</w:t>
      </w:r>
    </w:p>
    <w:p w:rsidR="00BA0105" w:rsidRDefault="00BA0105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5411" w:rsidRPr="009068D3" w:rsidRDefault="00CC5411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68D3">
        <w:rPr>
          <w:rFonts w:ascii="Times New Roman" w:hAnsi="Times New Roman" w:cs="Times New Roman"/>
          <w:b/>
          <w:sz w:val="24"/>
          <w:szCs w:val="24"/>
          <w:lang w:val="uk-UA"/>
        </w:rPr>
        <w:t>Водопроводно –каналізаційне господарство</w:t>
      </w:r>
    </w:p>
    <w:p w:rsidR="00CC5411" w:rsidRPr="005221C9" w:rsidRDefault="00CC5411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Централізоване водопостачання забезпечується комунальними підприємствами в н</w:t>
      </w:r>
      <w:r w:rsidR="00E1489E" w:rsidRPr="005221C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ступних</w:t>
      </w:r>
      <w:r w:rsidR="00E1489E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 пунктах:</w:t>
      </w:r>
    </w:p>
    <w:p w:rsidR="00E1489E" w:rsidRPr="005221C9" w:rsidRDefault="00E1489E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-с.Матроска-КП «Ізмаїльське ВУВКГ»;</w:t>
      </w:r>
    </w:p>
    <w:p w:rsidR="00E1489E" w:rsidRPr="005221C9" w:rsidRDefault="00E1489E" w:rsidP="00E1489E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-с.Броска-КП «Ізмаїльське ВУВКГ»</w:t>
      </w:r>
    </w:p>
    <w:p w:rsidR="00E1489E" w:rsidRPr="005221C9" w:rsidRDefault="00E1489E" w:rsidP="00E1489E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-с.Саф'яни-КП «Джерело»</w:t>
      </w:r>
    </w:p>
    <w:p w:rsidR="00CC5411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с.Стара Некрасівка- КП «Символ»;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-с.Багате-КП «Благо»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-с.Лощинівка-</w:t>
      </w:r>
      <w:r w:rsidR="00707F49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«Джерело»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Водопостачання інших населених пунктів громади здійснюється з артезіанських свердловин та шахтних колодязів (індивідуальні та громадські).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На території громади нараховується: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-загальна кількість водопроводних мереж-129,6 км.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загальна кількість водопроводних насосних станцій-15 од.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-загальна кількість водопроводних очисних споруд-1 од.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загальна кількість водозаборів з поверхневих джерел-9 од</w:t>
      </w:r>
    </w:p>
    <w:p w:rsidR="001E13E0" w:rsidRPr="005221C9" w:rsidRDefault="001E13E0" w:rsidP="009F6F8B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-загальна кількість свердловин-12 од.</w:t>
      </w:r>
    </w:p>
    <w:p w:rsidR="001E13E0" w:rsidRPr="005221C9" w:rsidRDefault="001E13E0" w:rsidP="00A017DD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Теплозабезпечення в громаді забезпечується 41 котельн</w:t>
      </w:r>
      <w:r w:rsidR="009068D3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. Всі котельні надають опалення для закладів освіти, культури та охорони здоров'я</w:t>
      </w:r>
      <w:r w:rsidR="00707F49" w:rsidRPr="005221C9">
        <w:rPr>
          <w:rFonts w:ascii="Times New Roman" w:hAnsi="Times New Roman" w:cs="Times New Roman"/>
          <w:sz w:val="24"/>
          <w:szCs w:val="24"/>
          <w:lang w:val="uk-UA"/>
        </w:rPr>
        <w:t>. Опалення приватних  житлових будинків</w:t>
      </w:r>
      <w:r w:rsidR="00297331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F49" w:rsidRPr="005221C9">
        <w:rPr>
          <w:rFonts w:ascii="Times New Roman" w:hAnsi="Times New Roman" w:cs="Times New Roman"/>
          <w:sz w:val="24"/>
          <w:szCs w:val="24"/>
          <w:lang w:val="uk-UA"/>
        </w:rPr>
        <w:t>здійснюється індивідуально. В громаді газифіковано 11 населених пунктів із 19, а саме: с.Саф'яни, с.Каменка, с.Броска, с.Каланчак, с.Багатое, с.Лощинівка, с.Матроска, с.Нова Некрасівка, с.Стара Некрасівка, с.Дунайське, с.Утконосівка.</w:t>
      </w:r>
    </w:p>
    <w:p w:rsidR="00707F49" w:rsidRPr="005221C9" w:rsidRDefault="00707F49" w:rsidP="00A017DD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Зовнішнє освітлення. Зовнішнім освітленням </w:t>
      </w:r>
      <w:r w:rsidR="00297331" w:rsidRPr="005221C9">
        <w:rPr>
          <w:rFonts w:ascii="Times New Roman" w:hAnsi="Times New Roman" w:cs="Times New Roman"/>
          <w:sz w:val="24"/>
          <w:szCs w:val="24"/>
          <w:lang w:val="uk-UA"/>
        </w:rPr>
        <w:t>забезпечено близько 90 % ву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лиць населених пунктів Саф'янівської сільської територіальної громади, протяжність  електромереж складає 279 км., в середньому за рік використовується 473 тис.кВт електроенергії.</w:t>
      </w:r>
    </w:p>
    <w:p w:rsidR="00707F49" w:rsidRPr="005221C9" w:rsidRDefault="00707F49" w:rsidP="00A017DD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Поводження з ТПВ. У Саф'янівській сільській </w:t>
      </w:r>
      <w:r w:rsidR="000C2F1A" w:rsidRPr="005221C9">
        <w:rPr>
          <w:rFonts w:ascii="Times New Roman" w:hAnsi="Times New Roman" w:cs="Times New Roman"/>
          <w:sz w:val="24"/>
          <w:szCs w:val="24"/>
          <w:lang w:val="uk-UA"/>
        </w:rPr>
        <w:t>територіальній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громаді нараховується 16 полігонів, площею 75,6 га, з щорічним обсягом 43526,9т. В селах Саф'яни</w:t>
      </w:r>
      <w:r w:rsidR="00C36839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 Стара Некрасівка вивіз ТПВ здійснюють КП «Джерело» та УП «Символ» відповідно, в інших селах громади вивіз відходів здійснюють самовивозом.</w:t>
      </w:r>
    </w:p>
    <w:p w:rsidR="00C36839" w:rsidRPr="005221C9" w:rsidRDefault="00C36839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b/>
          <w:sz w:val="24"/>
          <w:szCs w:val="24"/>
          <w:lang w:val="uk-UA"/>
        </w:rPr>
        <w:t>Благоустрій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. В громаді нараховується:</w:t>
      </w:r>
    </w:p>
    <w:p w:rsidR="00C36839" w:rsidRPr="005221C9" w:rsidRDefault="00C36839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-26 зон відпочинку для мешканців, а саме парки, сквери, дитячі майданчики загальною площею 130 тис. кв.м</w:t>
      </w:r>
    </w:p>
    <w:p w:rsidR="00C36839" w:rsidRPr="005221C9" w:rsidRDefault="00516555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-21 кладовище, пло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щею</w:t>
      </w:r>
      <w:r w:rsidR="00C36839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80,87 га</w:t>
      </w:r>
    </w:p>
    <w:p w:rsidR="00C36839" w:rsidRPr="005221C9" w:rsidRDefault="00C36839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b/>
          <w:sz w:val="24"/>
          <w:szCs w:val="24"/>
          <w:lang w:val="uk-UA"/>
        </w:rPr>
        <w:t>Капітальне будівництво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. До 2020 року реорганізовані сільські ради працювали в межах </w:t>
      </w:r>
      <w:r w:rsidR="00011E99" w:rsidRPr="005221C9">
        <w:rPr>
          <w:rFonts w:ascii="Times New Roman" w:hAnsi="Times New Roman" w:cs="Times New Roman"/>
          <w:sz w:val="24"/>
          <w:szCs w:val="24"/>
          <w:lang w:val="uk-UA"/>
        </w:rPr>
        <w:t>обмеженого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бюджету свого населеного пункту. Велика кількість  місцевих рад на  той  час у зв'язку із  недостачею коштів  не мали змоги підтримувати майно 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У 2021 році після </w:t>
      </w:r>
      <w:r w:rsidR="00516555" w:rsidRPr="005221C9">
        <w:rPr>
          <w:rFonts w:ascii="Times New Roman" w:hAnsi="Times New Roman" w:cs="Times New Roman"/>
          <w:sz w:val="24"/>
          <w:szCs w:val="24"/>
          <w:lang w:val="uk-UA"/>
        </w:rPr>
        <w:t>реорганізації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новостворена громада Саф'янівська сільська рада Ізмаїльського району Одеської області орієнтується в першу чергу на поліпшення стану об'єктів, які знаходяться у занедбаному стані.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Пріор</w:t>
      </w:r>
      <w:r w:rsidR="00297331" w:rsidRPr="005221C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тетні напрямки роботи капітального будівництва громади: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-капітальний  ремонт дахів;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-утеплення фасадів;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-ремонт систем опален</w:t>
      </w:r>
      <w:r w:rsidR="00297331" w:rsidRPr="005221C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я;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-капітальний ремонт вуличного освітлення;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-капітальний та поточний ремонт доріг.</w:t>
      </w:r>
    </w:p>
    <w:p w:rsidR="006548E4" w:rsidRPr="005221C9" w:rsidRDefault="006548E4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Дорожнє господарство.  Мережа автомобільних доріг Саф'янівської сільської територіальної  ради </w:t>
      </w:r>
      <w:r w:rsidR="00167A0C" w:rsidRPr="005221C9">
        <w:rPr>
          <w:rFonts w:ascii="Times New Roman" w:hAnsi="Times New Roman" w:cs="Times New Roman"/>
          <w:sz w:val="24"/>
          <w:szCs w:val="24"/>
          <w:lang w:val="uk-UA"/>
        </w:rPr>
        <w:t>складає-338 км, у тому числі:</w:t>
      </w:r>
    </w:p>
    <w:p w:rsidR="00167A0C" w:rsidRPr="005221C9" w:rsidRDefault="00167A0C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-дороги загального користування державного значення М-15 «Одеса -Рені», Т-16-07 «Ізмаїл-Кілія- Вилкове» Т-16-31 «Контрольно-пропускний пункт Табаки – Болгад-/М-15/» загальною протяжність -88 км;</w:t>
      </w:r>
    </w:p>
    <w:p w:rsidR="00167A0C" w:rsidRPr="005221C9" w:rsidRDefault="00167A0C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-16 доріг загального користування місцевого значення протяжністю -337 км;</w:t>
      </w:r>
    </w:p>
    <w:p w:rsidR="00167A0C" w:rsidRDefault="00167A0C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-вулиці і дороги в межах населених пунктів-253 км.</w:t>
      </w:r>
    </w:p>
    <w:p w:rsidR="00970FD4" w:rsidRPr="005221C9" w:rsidRDefault="00970FD4" w:rsidP="00970F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Основними напрямами розвитку гал</w:t>
      </w:r>
      <w:r>
        <w:rPr>
          <w:rFonts w:ascii="Times New Roman" w:hAnsi="Times New Roman" w:cs="Times New Roman"/>
          <w:sz w:val="24"/>
          <w:szCs w:val="24"/>
          <w:lang w:val="uk-UA"/>
        </w:rPr>
        <w:t>узі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є:</w:t>
      </w:r>
    </w:p>
    <w:p w:rsidR="00970FD4" w:rsidRPr="005221C9" w:rsidRDefault="00970FD4" w:rsidP="00970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забезпечення виконання наданих законодавством повноважень;</w:t>
      </w:r>
    </w:p>
    <w:p w:rsidR="00970FD4" w:rsidRPr="005221C9" w:rsidRDefault="00970FD4" w:rsidP="00970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дотримання бюджетної дисципліни та контролю за використанням коштів бюджету територіальної громади;</w:t>
      </w:r>
    </w:p>
    <w:p w:rsidR="00970FD4" w:rsidRPr="005221C9" w:rsidRDefault="00970FD4" w:rsidP="00970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підвищення якості надання адміністративних послуг населенню;</w:t>
      </w:r>
    </w:p>
    <w:p w:rsidR="00970FD4" w:rsidRPr="005221C9" w:rsidRDefault="00970FD4" w:rsidP="00970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1C9">
        <w:rPr>
          <w:rFonts w:ascii="Times New Roman" w:hAnsi="Times New Roman" w:cs="Times New Roman"/>
          <w:sz w:val="24"/>
          <w:szCs w:val="24"/>
        </w:rPr>
        <w:t>забезпечення прозорості витрачання бюджетних коштів;</w:t>
      </w:r>
    </w:p>
    <w:p w:rsidR="00970FD4" w:rsidRPr="005221C9" w:rsidRDefault="00970FD4" w:rsidP="00970FD4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ідтримка діяльності та активізація ініціатив депутатів та старост у вирішенні питань благоустрою, збереженні інфраструктури, історичних, культурних і природних пам’яток,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поширенні кращих практик й досвіту з реалізації місцевих програмі проектів розвитку територій та створенні сприятливого для життєдіяльності довкілля тощо.</w:t>
      </w:r>
    </w:p>
    <w:p w:rsidR="00167A0C" w:rsidRPr="00281AEF" w:rsidRDefault="00970FD4" w:rsidP="00281AEF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Пріоритетними напрямками  є будівництво до</w:t>
      </w:r>
      <w:r>
        <w:rPr>
          <w:rFonts w:ascii="Times New Roman" w:hAnsi="Times New Roman" w:cs="Times New Roman"/>
          <w:sz w:val="24"/>
          <w:szCs w:val="24"/>
          <w:lang w:val="uk-UA"/>
        </w:rPr>
        <w:t>ріг, розвиток малого бізнесу.</w:t>
      </w:r>
      <w:r w:rsidR="00167A0C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167A0C" w:rsidRPr="005221C9" w:rsidRDefault="00D27B25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Пріори</w:t>
      </w:r>
      <w:r w:rsidR="00167A0C" w:rsidRPr="005221C9">
        <w:rPr>
          <w:rFonts w:ascii="Times New Roman" w:hAnsi="Times New Roman" w:cs="Times New Roman"/>
          <w:sz w:val="24"/>
          <w:szCs w:val="24"/>
          <w:lang w:val="uk-UA"/>
        </w:rPr>
        <w:t>тетними завданнями розвитку житлово-комунального господарства визначено:</w:t>
      </w:r>
    </w:p>
    <w:p w:rsidR="00167A0C" w:rsidRPr="005221C9" w:rsidRDefault="00167A0C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-підвищення рівня енергоефективності;</w:t>
      </w:r>
    </w:p>
    <w:p w:rsidR="00167A0C" w:rsidRPr="005221C9" w:rsidRDefault="00167A0C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-підвищення якості надання житлово-комунальних послуг;</w:t>
      </w:r>
    </w:p>
    <w:p w:rsidR="00167A0C" w:rsidRPr="005221C9" w:rsidRDefault="00167A0C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-розвиток благоустрою в населених пунктах громади</w:t>
      </w:r>
      <w:r w:rsidR="004D2029" w:rsidRPr="005221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D2029" w:rsidRPr="005221C9" w:rsidRDefault="004D2029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Завдяки змінам до законодавства значно збільшено ресурс місцевих бюджетів на виконання власних повноважень, що сприятиме покращанню фінансового  забезпечення виконання ними самоврядних функцій, у першу чергу в сфері житлово- комунального господарства, благоустрою населених пунктів, реалізації інших місцевих прог</w:t>
      </w:r>
      <w:r w:rsidR="00D00586" w:rsidRPr="005221C9">
        <w:rPr>
          <w:rFonts w:ascii="Times New Roman" w:hAnsi="Times New Roman" w:cs="Times New Roman"/>
          <w:sz w:val="24"/>
          <w:szCs w:val="24"/>
          <w:lang w:val="uk-UA"/>
        </w:rPr>
        <w:t>рам соціально-економічного ро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звитку.</w:t>
      </w:r>
    </w:p>
    <w:p w:rsidR="004D2029" w:rsidRPr="005221C9" w:rsidRDefault="004D2029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У 2022-202</w:t>
      </w:r>
      <w:r w:rsidR="001C041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роках передбачається здійснити такі заходи:</w:t>
      </w:r>
    </w:p>
    <w:p w:rsidR="004D2029" w:rsidRPr="005221C9" w:rsidRDefault="004D2029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-підтримання в належному стані водогонів та водопроводного господарства;</w:t>
      </w:r>
    </w:p>
    <w:p w:rsidR="004D2029" w:rsidRPr="005221C9" w:rsidRDefault="00FE3F93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сприяння розвитку благоустрою,</w:t>
      </w:r>
      <w:r w:rsidR="004D2029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освітлення доріг, прибудинкових територій, скверів та інши</w:t>
      </w:r>
      <w:r w:rsidR="005B6790" w:rsidRPr="005221C9">
        <w:rPr>
          <w:rFonts w:ascii="Times New Roman" w:hAnsi="Times New Roman" w:cs="Times New Roman"/>
          <w:sz w:val="24"/>
          <w:szCs w:val="24"/>
          <w:lang w:val="uk-UA"/>
        </w:rPr>
        <w:t>х місць використання енергозбері</w:t>
      </w:r>
      <w:r w:rsidR="004D2029" w:rsidRPr="005221C9">
        <w:rPr>
          <w:rFonts w:ascii="Times New Roman" w:hAnsi="Times New Roman" w:cs="Times New Roman"/>
          <w:sz w:val="24"/>
          <w:szCs w:val="24"/>
          <w:lang w:val="uk-UA"/>
        </w:rPr>
        <w:t>гаючих світильників</w:t>
      </w:r>
      <w:r w:rsidR="005B6790" w:rsidRPr="005221C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B6790" w:rsidRPr="005221C9" w:rsidRDefault="005B6790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-збереження зелених насаджень та утримання їх у належному стані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 створення 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формування декоративних  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ефективних 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>насаджень в екологічному відношенні;</w:t>
      </w:r>
    </w:p>
    <w:p w:rsidR="00C256DB" w:rsidRPr="005221C9" w:rsidRDefault="00C256DB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-охорона та благоустрій парків та скверів;</w:t>
      </w:r>
    </w:p>
    <w:p w:rsidR="00C256DB" w:rsidRPr="005221C9" w:rsidRDefault="00C256DB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-обслуг</w:t>
      </w:r>
      <w:r w:rsidR="00B119F1">
        <w:rPr>
          <w:rFonts w:ascii="Times New Roman" w:hAnsi="Times New Roman" w:cs="Times New Roman"/>
          <w:sz w:val="24"/>
          <w:szCs w:val="24"/>
          <w:lang w:val="uk-UA"/>
        </w:rPr>
        <w:t>овування пам'ятних знаків та дош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ок, благоустрій кладовищ;</w:t>
      </w:r>
    </w:p>
    <w:p w:rsidR="00C256DB" w:rsidRPr="005221C9" w:rsidRDefault="00FE3F93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 вирішення питання 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збору та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вивезення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твердих побутових відходів.</w:t>
      </w:r>
    </w:p>
    <w:p w:rsidR="00C256DB" w:rsidRPr="005221C9" w:rsidRDefault="00C256DB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Результати, яких планується досягти:</w:t>
      </w:r>
    </w:p>
    <w:p w:rsidR="00C256DB" w:rsidRPr="005221C9" w:rsidRDefault="00C256DB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-поліпшення стану автомобільних доріг;</w:t>
      </w:r>
    </w:p>
    <w:p w:rsidR="00C256DB" w:rsidRPr="005221C9" w:rsidRDefault="00FE3F93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-підвищення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рівня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</w:t>
      </w:r>
      <w:r w:rsidR="006D7191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комунальними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послуг</w:t>
      </w:r>
      <w:r w:rsidR="006D7191" w:rsidRPr="005221C9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C256D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</w:t>
      </w:r>
      <w:r w:rsidR="006D7191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в обсягах необхідних для надання послуг у високій якості та по доступним цінам;</w:t>
      </w:r>
    </w:p>
    <w:p w:rsidR="006D7191" w:rsidRDefault="006D7191" w:rsidP="00D34B1C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-покращення рівня благоустрою населених пунктів та відповідних прилеглих територій.</w:t>
      </w:r>
    </w:p>
    <w:p w:rsidR="00281AEF" w:rsidRPr="005221C9" w:rsidRDefault="00281AEF" w:rsidP="00D34B1C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3421D9">
        <w:rPr>
          <w:rFonts w:ascii="Times New Roman" w:hAnsi="Times New Roman" w:cs="Times New Roman"/>
          <w:sz w:val="24"/>
          <w:szCs w:val="24"/>
          <w:lang w:val="uk-UA"/>
        </w:rPr>
        <w:t>оціальний захист.</w:t>
      </w:r>
    </w:p>
    <w:p w:rsidR="00161A5B" w:rsidRPr="005221C9" w:rsidRDefault="00FE6303" w:rsidP="005E0078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81AE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рограм</w:t>
      </w:r>
      <w:r w:rsidR="00835232" w:rsidRPr="005221C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заходів у сфері </w:t>
      </w:r>
      <w:r w:rsidR="00835232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соціально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захисту</w:t>
      </w:r>
      <w:r w:rsidR="00835232" w:rsidRPr="005221C9">
        <w:rPr>
          <w:rFonts w:ascii="Times New Roman" w:hAnsi="Times New Roman" w:cs="Times New Roman"/>
          <w:sz w:val="24"/>
          <w:szCs w:val="24"/>
          <w:lang w:val="uk-UA"/>
        </w:rPr>
        <w:t>, поліпшення становища  сімей</w:t>
      </w:r>
      <w:r w:rsidR="006669C4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попередження</w:t>
      </w:r>
      <w:r w:rsidR="006669C4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насильства в сім</w:t>
      </w:r>
      <w:r w:rsidR="006669C4" w:rsidRPr="005221C9">
        <w:rPr>
          <w:rFonts w:ascii="Calibri" w:hAnsi="Calibri" w:cs="Calibri"/>
          <w:sz w:val="24"/>
          <w:szCs w:val="24"/>
          <w:lang w:val="uk-UA"/>
        </w:rPr>
        <w:t>'</w:t>
      </w:r>
      <w:r w:rsidR="006669C4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ї, забезпечення рівних прав і можливостей, впровадження гендерної політики. Організовано соціальне обслуговування населення, здійснюється </w:t>
      </w:r>
      <w:r w:rsidR="00CD5F27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соціальна робота  та надання соціальних послуг.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Забезпечується</w:t>
      </w:r>
      <w:r w:rsidR="00CD5F27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програм</w:t>
      </w:r>
      <w:r w:rsidR="00002AD5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і здійснення заходів, направлених  на забезпечення соціального та правового захисту сім'ї та підтримки</w:t>
      </w:r>
      <w:r w:rsidR="00002AD5" w:rsidRPr="005221C9">
        <w:rPr>
          <w:rFonts w:ascii="Calibri" w:hAnsi="Calibri" w:cs="Calibri"/>
          <w:sz w:val="24"/>
          <w:szCs w:val="24"/>
          <w:lang w:val="uk-UA"/>
        </w:rPr>
        <w:t xml:space="preserve"> </w:t>
      </w:r>
      <w:r w:rsidR="00002AD5" w:rsidRPr="005221C9">
        <w:rPr>
          <w:rFonts w:ascii="Times New Roman" w:hAnsi="Times New Roman" w:cs="Times New Roman"/>
          <w:sz w:val="24"/>
          <w:szCs w:val="24"/>
          <w:lang w:val="uk-UA"/>
        </w:rPr>
        <w:t>малозабезпечених, багатодітних, молодих сімей, що перебувають у складних життєвих обставинах, членів сімей загиблих  на військовій службі,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2AD5" w:rsidRPr="005221C9">
        <w:rPr>
          <w:rFonts w:ascii="Times New Roman" w:hAnsi="Times New Roman" w:cs="Times New Roman"/>
          <w:sz w:val="24"/>
          <w:szCs w:val="24"/>
          <w:lang w:val="uk-UA"/>
        </w:rPr>
        <w:t>які під час мобілізації пом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002AD5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рли під час виконання служби, 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який був призваний до Збройних Сил України, Національної гвардії України. </w:t>
      </w:r>
      <w:r w:rsidR="00002AD5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брав участь в антитерористичній 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2AD5" w:rsidRPr="005221C9">
        <w:rPr>
          <w:rFonts w:ascii="Times New Roman" w:hAnsi="Times New Roman" w:cs="Times New Roman"/>
          <w:sz w:val="24"/>
          <w:szCs w:val="24"/>
          <w:lang w:val="uk-UA"/>
        </w:rPr>
        <w:t>операції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>. Здійснюється попередження насильства  в сім</w:t>
      </w:r>
      <w:r w:rsidR="00CC0AFB" w:rsidRPr="005221C9">
        <w:rPr>
          <w:rFonts w:ascii="Calibri" w:hAnsi="Calibri" w:cs="Calibri"/>
          <w:sz w:val="24"/>
          <w:szCs w:val="24"/>
          <w:lang w:val="uk-UA"/>
        </w:rPr>
        <w:t>'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ї, забезпечення рівних прав і можливостей для участі жінок та чоловіків у всіх сферах життя. 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>У 2022-202</w:t>
      </w:r>
      <w:r w:rsidR="001C041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роках будуть забезпечені програми фінансової підтримки  громадян, що переселилися з </w:t>
      </w:r>
      <w:r w:rsidR="00D00586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тимчасово окупованих територій та </w:t>
      </w:r>
      <w:r w:rsidR="00CC0AF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районів </w:t>
      </w:r>
      <w:r w:rsidR="00D00586" w:rsidRPr="005221C9">
        <w:rPr>
          <w:rFonts w:ascii="Times New Roman" w:hAnsi="Times New Roman" w:cs="Times New Roman"/>
          <w:sz w:val="24"/>
          <w:szCs w:val="24"/>
          <w:lang w:val="uk-UA"/>
        </w:rPr>
        <w:t>проведення ООС.</w:t>
      </w:r>
    </w:p>
    <w:p w:rsidR="00D00586" w:rsidRPr="005221C9" w:rsidRDefault="00D00586" w:rsidP="00D00586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У 2</w:t>
      </w:r>
      <w:r w:rsidR="00A12630" w:rsidRPr="005221C9">
        <w:rPr>
          <w:rFonts w:ascii="Times New Roman" w:hAnsi="Times New Roman" w:cs="Times New Roman"/>
          <w:sz w:val="24"/>
          <w:szCs w:val="24"/>
          <w:lang w:val="uk-UA"/>
        </w:rPr>
        <w:t>022-2024 планується здійснення заходів у сфері запобігання  та протидії торгівлі людьми, забезпечення рівних прав та можливостей у всіх сферах життя.</w:t>
      </w:r>
    </w:p>
    <w:p w:rsidR="00CD4CE3" w:rsidRDefault="001048B5" w:rsidP="00D00586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державної сімейної та гендерної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політики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, яка буде направлена на утвердження у суспільстві гендерної рівності, підтримку сімей, забезпечення рівних прав</w:t>
      </w:r>
      <w:r w:rsidR="000C0D83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 та можливост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ей, подолання негативних явищ у суспільстві: інвалідність, бідність, безробіття, ухилення батьками  або іншими особами , від виконання своїх обов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язків у житті дитини.  </w:t>
      </w:r>
      <w:r w:rsidR="00CD4CE3" w:rsidRPr="005221C9">
        <w:rPr>
          <w:rFonts w:ascii="Times New Roman" w:hAnsi="Times New Roman" w:cs="Times New Roman"/>
          <w:sz w:val="24"/>
          <w:szCs w:val="24"/>
          <w:lang w:val="uk-UA"/>
        </w:rPr>
        <w:t>Через вплив несприятливих зовнішніх та внутрішніх чинників,</w:t>
      </w:r>
      <w:r w:rsidR="000C0D83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B1C">
        <w:rPr>
          <w:rFonts w:ascii="Times New Roman" w:hAnsi="Times New Roman" w:cs="Times New Roman"/>
          <w:sz w:val="24"/>
          <w:szCs w:val="24"/>
          <w:lang w:val="uk-UA"/>
        </w:rPr>
        <w:t>проводиться робота</w:t>
      </w:r>
      <w:r w:rsidR="000C0D83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 групами населення, </w:t>
      </w:r>
      <w:r w:rsidR="00D34B1C">
        <w:rPr>
          <w:rFonts w:ascii="Times New Roman" w:hAnsi="Times New Roman" w:cs="Times New Roman"/>
          <w:sz w:val="24"/>
          <w:szCs w:val="24"/>
          <w:lang w:val="uk-UA"/>
        </w:rPr>
        <w:t>які у</w:t>
      </w:r>
      <w:r w:rsidR="000C0D83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складних життєвих обставинах.</w:t>
      </w:r>
    </w:p>
    <w:p w:rsidR="00FF263B" w:rsidRPr="006E45A3" w:rsidRDefault="00FF263B" w:rsidP="00FF26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Основні заходи, що плануються для їх виконання:</w:t>
      </w:r>
    </w:p>
    <w:p w:rsidR="00FF263B" w:rsidRPr="006E45A3" w:rsidRDefault="00FF263B" w:rsidP="00FF263B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підтримка стабільного функціонування ключових бюджетоутворюючих підприємств;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сприяння участі товаровиробників у виставково-ярмарковій діяльності з метою підвищення конкурентоспроможності продукції, встановлення корисних ділових контактів; 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сприяння оновленню матеріально-технічної бази підприємств;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розширення площ під виробництвом органічної продукції в сільськогосподарських підприємствах;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розповсюдження науково обґрунтованих систем землеробства, що дасть змогу підвищити родючість ґрунтів;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застосування прогресивних технологій вирощування сільськогосподарських культур;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подальший розвиток зрошуваного землеробства;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впровадження нових елітних сортів і гібридів рослин;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підвищення продуктивності поголів’я та забезпечення необхідними кормами;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підтримка сільськогосподарських підприємств, які займаються тваринництвом;</w:t>
      </w:r>
    </w:p>
    <w:p w:rsidR="00FF263B" w:rsidRPr="006E45A3" w:rsidRDefault="00FF263B" w:rsidP="00FF263B">
      <w:pPr>
        <w:numPr>
          <w:ilvl w:val="0"/>
          <w:numId w:val="2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,Italic" w:eastAsia="Times New Roman" w:hAnsi="Times New Roman,Italic" w:cs="Times New Roman,Italic"/>
          <w:i/>
          <w:iCs/>
          <w:sz w:val="24"/>
          <w:szCs w:val="24"/>
          <w:lang w:val="uk-UA" w:eastAsia="ru-RU"/>
        </w:rPr>
      </w:pPr>
      <w:r w:rsidRPr="006E45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забезпечення прозорості дій органів влади під час здійснення ними регуляторної політики у сфері господарської діяльності</w:t>
      </w:r>
      <w:r w:rsidRPr="006E45A3">
        <w:rPr>
          <w:rFonts w:ascii="Times New Roman,Italic" w:eastAsia="Times New Roman" w:hAnsi="Times New Roman,Italic" w:cs="Times New Roman,Italic"/>
          <w:iCs/>
          <w:sz w:val="24"/>
          <w:szCs w:val="24"/>
          <w:lang w:val="uk-UA" w:eastAsia="ru-RU"/>
        </w:rPr>
        <w:t>.</w:t>
      </w:r>
    </w:p>
    <w:p w:rsidR="00D0583B" w:rsidRPr="005221C9" w:rsidRDefault="00161A5B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   У сфері н</w:t>
      </w:r>
      <w:r w:rsidR="00FE3F93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адання адміністративних послуг здійснюється </w:t>
      </w:r>
      <w:r w:rsidR="00D0583B" w:rsidRPr="005221C9">
        <w:rPr>
          <w:rFonts w:ascii="Times New Roman" w:hAnsi="Times New Roman" w:cs="Times New Roman"/>
          <w:sz w:val="24"/>
          <w:szCs w:val="24"/>
          <w:lang w:val="uk-UA"/>
        </w:rPr>
        <w:t>сприятлива тенденція спрощеного,</w:t>
      </w:r>
      <w:r w:rsidR="00FE3F93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комфортного</w:t>
      </w:r>
      <w:r w:rsidR="00D0583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 доступного </w:t>
      </w:r>
      <w:r w:rsidR="00FE3F93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</w:t>
      </w:r>
      <w:r w:rsidR="00D0583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, що  </w:t>
      </w:r>
      <w:r w:rsidR="005A7A4C" w:rsidRPr="005221C9">
        <w:rPr>
          <w:rFonts w:ascii="Times New Roman" w:hAnsi="Times New Roman" w:cs="Times New Roman"/>
          <w:sz w:val="24"/>
          <w:szCs w:val="24"/>
          <w:lang w:val="uk-UA"/>
        </w:rPr>
        <w:t>допоможе збільшити кількість суб</w:t>
      </w:r>
      <w:r w:rsidR="005A7A4C" w:rsidRPr="005221C9">
        <w:rPr>
          <w:rFonts w:ascii="Calibri" w:hAnsi="Calibri" w:cs="Calibri"/>
          <w:sz w:val="24"/>
          <w:szCs w:val="24"/>
          <w:lang w:val="uk-UA"/>
        </w:rPr>
        <w:t>'</w:t>
      </w:r>
      <w:r w:rsidR="005A7A4C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єктів господарювання та створить </w:t>
      </w:r>
      <w:r w:rsidR="00D0583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7A4C" w:rsidRPr="005221C9">
        <w:rPr>
          <w:rFonts w:ascii="Times New Roman" w:hAnsi="Times New Roman" w:cs="Times New Roman"/>
          <w:sz w:val="24"/>
          <w:szCs w:val="24"/>
          <w:lang w:val="uk-UA"/>
        </w:rPr>
        <w:t>сприятливий бізнес-клімат.</w:t>
      </w:r>
    </w:p>
    <w:p w:rsidR="002739BC" w:rsidRPr="005221C9" w:rsidRDefault="002739BC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Освіта</w:t>
      </w:r>
    </w:p>
    <w:p w:rsidR="002739BC" w:rsidRPr="005221C9" w:rsidRDefault="002739BC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За рахунок бюджету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територіальної громади  утримуватимуться 35 установ:</w:t>
      </w:r>
    </w:p>
    <w:p w:rsidR="002739BC" w:rsidRPr="005221C9" w:rsidRDefault="002739BC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-16  -</w:t>
      </w:r>
      <w:r w:rsidR="00232DD1">
        <w:rPr>
          <w:rFonts w:ascii="Times New Roman" w:hAnsi="Times New Roman" w:cs="Times New Roman"/>
          <w:sz w:val="24"/>
          <w:szCs w:val="24"/>
          <w:lang w:val="uk-UA"/>
        </w:rPr>
        <w:t>загальної середньої освіти</w:t>
      </w:r>
      <w:r w:rsidR="00967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4BC3">
        <w:rPr>
          <w:rFonts w:ascii="Times New Roman" w:hAnsi="Times New Roman" w:cs="Times New Roman"/>
          <w:sz w:val="24"/>
          <w:szCs w:val="24"/>
          <w:lang w:val="uk-UA"/>
        </w:rPr>
        <w:t>5065 учнів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в 273 класах;</w:t>
      </w:r>
    </w:p>
    <w:p w:rsidR="002739BC" w:rsidRPr="005221C9" w:rsidRDefault="002739BC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-14-</w:t>
      </w:r>
      <w:r w:rsidR="00EC4E86" w:rsidRPr="005221C9">
        <w:rPr>
          <w:rFonts w:ascii="Times New Roman" w:hAnsi="Times New Roman" w:cs="Times New Roman"/>
          <w:sz w:val="24"/>
          <w:szCs w:val="24"/>
          <w:lang w:val="uk-UA"/>
        </w:rPr>
        <w:t>дошкільна освіта та 2 дошкільні підрозділи у Ларжанського  та Матроського закладів загальної середньої освіти</w:t>
      </w:r>
      <w:r w:rsidR="00967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4E86" w:rsidRPr="005221C9">
        <w:rPr>
          <w:rFonts w:ascii="Times New Roman" w:hAnsi="Times New Roman" w:cs="Times New Roman"/>
          <w:sz w:val="24"/>
          <w:szCs w:val="24"/>
          <w:lang w:val="uk-UA"/>
        </w:rPr>
        <w:t>(1007 вих</w:t>
      </w:r>
      <w:r w:rsidR="00044BC3">
        <w:rPr>
          <w:rFonts w:ascii="Times New Roman" w:hAnsi="Times New Roman" w:cs="Times New Roman"/>
          <w:sz w:val="24"/>
          <w:szCs w:val="24"/>
          <w:lang w:val="uk-UA"/>
        </w:rPr>
        <w:t>ованців</w:t>
      </w:r>
      <w:r w:rsidR="00EC4E86" w:rsidRPr="005221C9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EC4E86" w:rsidRPr="005221C9" w:rsidRDefault="00EC4E86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-1 - позашкільної освіти (Центр дитячої і юнацької творчості)</w:t>
      </w:r>
      <w:r w:rsidR="00967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4BC3">
        <w:rPr>
          <w:rFonts w:ascii="Times New Roman" w:hAnsi="Times New Roman" w:cs="Times New Roman"/>
          <w:sz w:val="24"/>
          <w:szCs w:val="24"/>
          <w:lang w:val="uk-UA"/>
        </w:rPr>
        <w:t xml:space="preserve">(637 дітей,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41гр.);</w:t>
      </w:r>
    </w:p>
    <w:p w:rsidR="00EC4E86" w:rsidRPr="005221C9" w:rsidRDefault="00EC4E86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-1-ін</w:t>
      </w:r>
      <w:r w:rsidR="004D1920" w:rsidRPr="005221C9">
        <w:rPr>
          <w:rFonts w:ascii="Times New Roman" w:hAnsi="Times New Roman" w:cs="Times New Roman"/>
          <w:sz w:val="24"/>
          <w:szCs w:val="24"/>
          <w:lang w:val="uk-UA"/>
        </w:rPr>
        <w:t>кл</w:t>
      </w:r>
      <w:r w:rsidR="00232DD1">
        <w:rPr>
          <w:rFonts w:ascii="Times New Roman" w:hAnsi="Times New Roman" w:cs="Times New Roman"/>
          <w:sz w:val="24"/>
          <w:szCs w:val="24"/>
          <w:lang w:val="uk-UA"/>
        </w:rPr>
        <w:t>юзивно</w:t>
      </w:r>
      <w:r w:rsidR="004D1920" w:rsidRPr="005221C9">
        <w:rPr>
          <w:rFonts w:ascii="Times New Roman" w:hAnsi="Times New Roman" w:cs="Times New Roman"/>
          <w:sz w:val="24"/>
          <w:szCs w:val="24"/>
          <w:lang w:val="uk-UA"/>
        </w:rPr>
        <w:t>-реср</w:t>
      </w:r>
      <w:r w:rsidR="00232DD1">
        <w:rPr>
          <w:rFonts w:ascii="Times New Roman" w:hAnsi="Times New Roman" w:cs="Times New Roman"/>
          <w:sz w:val="24"/>
          <w:szCs w:val="24"/>
          <w:lang w:val="uk-UA"/>
        </w:rPr>
        <w:t xml:space="preserve">усний </w:t>
      </w:r>
      <w:r w:rsidR="004D1920" w:rsidRPr="005221C9">
        <w:rPr>
          <w:rFonts w:ascii="Times New Roman" w:hAnsi="Times New Roman" w:cs="Times New Roman"/>
          <w:sz w:val="24"/>
          <w:szCs w:val="24"/>
          <w:lang w:val="uk-UA"/>
        </w:rPr>
        <w:t>центр для дітей з особл</w:t>
      </w:r>
      <w:r w:rsidR="00D34B1C">
        <w:rPr>
          <w:rFonts w:ascii="Times New Roman" w:hAnsi="Times New Roman" w:cs="Times New Roman"/>
          <w:sz w:val="24"/>
          <w:szCs w:val="24"/>
          <w:lang w:val="uk-UA"/>
        </w:rPr>
        <w:t>ивими</w:t>
      </w:r>
      <w:r w:rsidR="004D1920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освітніми потребами</w:t>
      </w:r>
      <w:r w:rsidR="00967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1920" w:rsidRPr="005221C9">
        <w:rPr>
          <w:rFonts w:ascii="Times New Roman" w:hAnsi="Times New Roman" w:cs="Times New Roman"/>
          <w:sz w:val="24"/>
          <w:szCs w:val="24"/>
          <w:lang w:val="uk-UA"/>
        </w:rPr>
        <w:t>(74 дитини);</w:t>
      </w:r>
    </w:p>
    <w:p w:rsidR="004D1920" w:rsidRPr="005221C9" w:rsidRDefault="004D1920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- 1 центр професійного розвитку педагогічних працівників; </w:t>
      </w:r>
    </w:p>
    <w:p w:rsidR="004D1920" w:rsidRPr="005221C9" w:rsidRDefault="004D1920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65F38" w:rsidRPr="005221C9">
        <w:rPr>
          <w:rFonts w:ascii="Times New Roman" w:hAnsi="Times New Roman" w:cs="Times New Roman"/>
          <w:sz w:val="24"/>
          <w:szCs w:val="24"/>
          <w:lang w:val="uk-UA"/>
        </w:rPr>
        <w:t>бухгалтерська служба ;</w:t>
      </w:r>
    </w:p>
    <w:p w:rsidR="00E70ED8" w:rsidRDefault="00665F38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група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 охорони праці та господарського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управління освіти.</w:t>
      </w:r>
    </w:p>
    <w:p w:rsidR="00665F38" w:rsidRPr="005221C9" w:rsidRDefault="00B43CE6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>Пріоритетам</w:t>
      </w:r>
      <w:r w:rsidR="00665F3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розвитку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галузі</w:t>
      </w:r>
      <w:r w:rsidR="00665F3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є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65F38" w:rsidRPr="005221C9" w:rsidRDefault="00665F38" w:rsidP="005700C2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Продовження впровадження інклюзивної освіти для дітей, як</w:t>
      </w:r>
      <w:r w:rsidR="00D34B1C">
        <w:rPr>
          <w:rFonts w:ascii="Times New Roman" w:hAnsi="Times New Roman" w:cs="Times New Roman"/>
          <w:sz w:val="24"/>
          <w:szCs w:val="24"/>
          <w:lang w:val="uk-UA"/>
        </w:rPr>
        <w:t>им необхідно корекція фізичного</w:t>
      </w:r>
      <w:r w:rsidR="00C92BB0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розвитку. З метою забезпечення рівного доступу до якісної освіти, яким необхідна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педагогічна</w:t>
      </w:r>
      <w:r w:rsidR="00C92BB0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увага, корекції фізичного та розум</w:t>
      </w:r>
      <w:r w:rsidR="00A329F2">
        <w:rPr>
          <w:rFonts w:ascii="Times New Roman" w:hAnsi="Times New Roman" w:cs="Times New Roman"/>
          <w:sz w:val="24"/>
          <w:szCs w:val="24"/>
          <w:lang w:val="uk-UA"/>
        </w:rPr>
        <w:t xml:space="preserve">ового розвитку, відкрито 51 інклюзивних </w:t>
      </w:r>
      <w:r w:rsidR="00C92BB0" w:rsidRPr="005221C9">
        <w:rPr>
          <w:rFonts w:ascii="Times New Roman" w:hAnsi="Times New Roman" w:cs="Times New Roman"/>
          <w:sz w:val="24"/>
          <w:szCs w:val="24"/>
          <w:lang w:val="uk-UA"/>
        </w:rPr>
        <w:t>клас</w:t>
      </w:r>
      <w:r w:rsidR="00A329F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92BB0" w:rsidRPr="005221C9">
        <w:rPr>
          <w:rFonts w:ascii="Times New Roman" w:hAnsi="Times New Roman" w:cs="Times New Roman"/>
          <w:sz w:val="24"/>
          <w:szCs w:val="24"/>
          <w:lang w:val="uk-UA"/>
        </w:rPr>
        <w:t>, у яких навчається 60дітей, у 13 закл</w:t>
      </w:r>
      <w:r w:rsidR="00D34B1C">
        <w:rPr>
          <w:rFonts w:ascii="Times New Roman" w:hAnsi="Times New Roman" w:cs="Times New Roman"/>
          <w:sz w:val="24"/>
          <w:szCs w:val="24"/>
          <w:lang w:val="uk-UA"/>
        </w:rPr>
        <w:t>адах</w:t>
      </w:r>
      <w:r w:rsidR="00C92BB0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середньої освіти відкриті ресурсні кімнати. У громаді функціонує інклюзивно-ресу</w:t>
      </w:r>
      <w:r w:rsidR="00632897" w:rsidRPr="005221C9">
        <w:rPr>
          <w:rFonts w:ascii="Times New Roman" w:hAnsi="Times New Roman" w:cs="Times New Roman"/>
          <w:sz w:val="24"/>
          <w:szCs w:val="24"/>
          <w:lang w:val="uk-UA"/>
        </w:rPr>
        <w:t>рсний центр, де здійснюється виховання дітей.</w:t>
      </w:r>
    </w:p>
    <w:p w:rsidR="00632897" w:rsidRPr="005221C9" w:rsidRDefault="00632897" w:rsidP="005700C2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Освітня </w:t>
      </w:r>
      <w:r w:rsidR="0064174C" w:rsidRPr="005221C9">
        <w:rPr>
          <w:rFonts w:ascii="Times New Roman" w:hAnsi="Times New Roman" w:cs="Times New Roman"/>
          <w:sz w:val="24"/>
          <w:szCs w:val="24"/>
          <w:lang w:val="uk-UA"/>
        </w:rPr>
        <w:t>галузь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розвивається згідно з потребами і особливостями громади у напрямі підвищення якості освіти, економічної ефективност</w:t>
      </w:r>
      <w:r w:rsidR="00B47882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функціонування</w:t>
      </w:r>
      <w:r w:rsidR="00B47882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закладів освіти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, поліпшення доступу до якісних освітніх послуг.</w:t>
      </w:r>
    </w:p>
    <w:p w:rsidR="0064174C" w:rsidRPr="005221C9" w:rsidRDefault="0064174C" w:rsidP="005700C2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Забезпечення потреб населення у якісній освіті дітей та стабільного функціонування закладів освіти, надання освітніх потреб громад.</w:t>
      </w:r>
      <w:r w:rsidR="003A1BE4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безпечних та нешкідливих </w:t>
      </w:r>
      <w:r w:rsidR="003A1BE4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умов навчання, виховання і розвитку дітей та учнівської молоді.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BE4" w:rsidRPr="005221C9">
        <w:rPr>
          <w:rFonts w:ascii="Times New Roman" w:hAnsi="Times New Roman" w:cs="Times New Roman"/>
          <w:sz w:val="24"/>
          <w:szCs w:val="24"/>
          <w:lang w:val="uk-UA"/>
        </w:rPr>
        <w:t>Забезпечення рівного доступу до якісної освіти всіх категорій дітей громади, створен</w:t>
      </w:r>
      <w:r w:rsidR="00D34B1C">
        <w:rPr>
          <w:rFonts w:ascii="Times New Roman" w:hAnsi="Times New Roman" w:cs="Times New Roman"/>
          <w:sz w:val="24"/>
          <w:szCs w:val="24"/>
          <w:lang w:val="uk-UA"/>
        </w:rPr>
        <w:t>ня управління освіти та організаці</w:t>
      </w:r>
      <w:r w:rsidR="003A1BE4" w:rsidRPr="005221C9">
        <w:rPr>
          <w:rFonts w:ascii="Times New Roman" w:hAnsi="Times New Roman" w:cs="Times New Roman"/>
          <w:sz w:val="24"/>
          <w:szCs w:val="24"/>
          <w:lang w:val="uk-UA"/>
        </w:rPr>
        <w:t>йної структури системи освіти.</w:t>
      </w:r>
    </w:p>
    <w:p w:rsidR="003A1BE4" w:rsidRPr="005221C9" w:rsidRDefault="003A1BE4" w:rsidP="005700C2">
      <w:pPr>
        <w:tabs>
          <w:tab w:val="left" w:pos="3945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підтримки розвитку інтелектуального і творчого потенціалу дітей та учнівської молоді, забезпечення права дитини на здобуття освіти,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розгалуження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мережі гуртків у закладі позашкільної освіти; інформація освітнього процесу та управлінської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освітньої галузі.</w:t>
      </w:r>
    </w:p>
    <w:p w:rsidR="003A1BE4" w:rsidRPr="005221C9" w:rsidRDefault="003A1BE4" w:rsidP="005700C2">
      <w:pPr>
        <w:tabs>
          <w:tab w:val="left" w:pos="3945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Розвиток творчого потенціалу та підвищення престижності праці педагогічних працівників закладів освіти громади.</w:t>
      </w:r>
    </w:p>
    <w:p w:rsidR="003A1BE4" w:rsidRPr="005221C9" w:rsidRDefault="003A1BE4" w:rsidP="00161A5B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Основні заходи для досягнення визначених завдань:</w:t>
      </w:r>
    </w:p>
    <w:p w:rsidR="001C71C6" w:rsidRPr="005221C9" w:rsidRDefault="002B3097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C71C6" w:rsidRPr="005221C9">
        <w:rPr>
          <w:rFonts w:ascii="Times New Roman" w:hAnsi="Times New Roman" w:cs="Times New Roman"/>
          <w:sz w:val="24"/>
          <w:szCs w:val="24"/>
          <w:lang w:val="uk-UA"/>
        </w:rPr>
        <w:t>поглиблення реформи освіти і забезпечення кращих можливостей для  розвитку дітей та їх усп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ішної реалізації в суспільстві;</w:t>
      </w:r>
    </w:p>
    <w:p w:rsidR="001C71C6" w:rsidRPr="005221C9" w:rsidRDefault="002B3097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-організація якісного освітнього процесу в період карантину;</w:t>
      </w:r>
    </w:p>
    <w:p w:rsidR="002B3097" w:rsidRPr="005221C9" w:rsidRDefault="002B3097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-забезпечення інклюзивно-ресурсного центру дітей з особливими освітніми потребами приміщеннями для проведення комплексної психолого-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педагогічної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оцінки розвитку дитини, надання, допомоги та забезпечення системного супроводження;</w:t>
      </w:r>
    </w:p>
    <w:p w:rsidR="002B3097" w:rsidRPr="005221C9" w:rsidRDefault="002B3097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 впровадження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електронних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журналів та щоденників;</w:t>
      </w:r>
    </w:p>
    <w:p w:rsidR="002B3097" w:rsidRPr="005221C9" w:rsidRDefault="002B3097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-розширення мережі інклюзивних класів;</w:t>
      </w:r>
    </w:p>
    <w:p w:rsidR="002B3097" w:rsidRPr="005221C9" w:rsidRDefault="002B3097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 атестація вчителів, </w:t>
      </w:r>
    </w:p>
    <w:p w:rsidR="002B3097" w:rsidRPr="005221C9" w:rsidRDefault="002B3097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проведення капітального ремонту будівель, приміщень</w:t>
      </w:r>
      <w:r w:rsidR="00F64815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 систем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комунікацій закладів</w:t>
      </w:r>
      <w:r w:rsidR="00F64815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освіти;</w:t>
      </w:r>
    </w:p>
    <w:p w:rsidR="00F64815" w:rsidRPr="005221C9" w:rsidRDefault="00F64815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-модернізація матеріально-технічної бази закладів освіти громади, оснащення сучасним обладнанням;</w:t>
      </w:r>
    </w:p>
    <w:p w:rsidR="00F64815" w:rsidRPr="005221C9" w:rsidRDefault="00F64815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-проведенням робіт з благоустрою територій закладів освіти громади;</w:t>
      </w:r>
    </w:p>
    <w:p w:rsidR="00F64815" w:rsidRPr="005221C9" w:rsidRDefault="00F64815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-модернізація спортивної бази закладів загальної середньої освіти;</w:t>
      </w:r>
    </w:p>
    <w:p w:rsidR="00F64815" w:rsidRPr="005221C9" w:rsidRDefault="00F64815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-проведення протипожежних заходів- встановлення систем автоматичної пожежної  сигналізації, обробка конструкцій протипожежною сумішшю, придбання засобів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пожежогасіння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, проведення ремонтів пожежних водойм;</w:t>
      </w:r>
    </w:p>
    <w:p w:rsidR="00F64815" w:rsidRPr="005221C9" w:rsidRDefault="00F64815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>-забезпечення харчоблоків закладів освіти сучасними технологічними холодильними обладнаннями;</w:t>
      </w:r>
    </w:p>
    <w:p w:rsidR="00F64815" w:rsidRPr="005221C9" w:rsidRDefault="00F64815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-забезпечення учнів та працівників закладів освіти послугами з надання медичної допомоги;</w:t>
      </w:r>
    </w:p>
    <w:p w:rsidR="00F64815" w:rsidRPr="005221C9" w:rsidRDefault="00F64815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-забез</w:t>
      </w:r>
      <w:r w:rsidR="00BF7890" w:rsidRPr="005221C9">
        <w:rPr>
          <w:rFonts w:ascii="Times New Roman" w:hAnsi="Times New Roman" w:cs="Times New Roman"/>
          <w:sz w:val="24"/>
          <w:szCs w:val="24"/>
          <w:lang w:val="uk-UA"/>
        </w:rPr>
        <w:t>печення технікою, мультимедійною</w:t>
      </w:r>
      <w:r w:rsid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5B2D" w:rsidRPr="005221C9">
        <w:rPr>
          <w:rFonts w:ascii="Times New Roman" w:hAnsi="Times New Roman" w:cs="Times New Roman"/>
          <w:sz w:val="24"/>
          <w:szCs w:val="24"/>
          <w:lang w:val="uk-UA"/>
        </w:rPr>
        <w:t>та інтерактивною технікою,</w:t>
      </w:r>
    </w:p>
    <w:p w:rsidR="00D25B2D" w:rsidRPr="005221C9" w:rsidRDefault="00D25B2D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-створення зон WS-FI, підключення до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швидкісного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інтернету;</w:t>
      </w:r>
    </w:p>
    <w:p w:rsidR="00D25B2D" w:rsidRPr="005221C9" w:rsidRDefault="00D25B2D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-фінансування видатків на участь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обдарованих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 талановитих дітей  в олімпіадах та турнірах;</w:t>
      </w:r>
    </w:p>
    <w:p w:rsidR="00D25B2D" w:rsidRPr="005221C9" w:rsidRDefault="00D25B2D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-організація поїздок делегацій з обміну досвідом</w:t>
      </w:r>
      <w:r w:rsid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учнів, педагогів, працівників, організація та проведення навчально-практичних семінарів, тренінгів, майстер класів для учнів громади;</w:t>
      </w:r>
    </w:p>
    <w:p w:rsidR="00D25B2D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-участь в обласних семінарах працівників освітньої галузі;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-забезпечення заохочувальних виплат педагогам, які досягли успіхів у роботі з дітьми;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-організація та проведення заходів до Дня захисту дітей;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-організація відпочинку дітей у пришкільних таборах;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-підтримка участі обдарованих дітей у міжнародних, всеукраїнських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конкурсах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Результати від реалізації заходів: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-забезпечення якісної, сучасної та доступної загальної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середньої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освіти 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-впровадження сучасних технологій дистанційного, змішаного навчання;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-забезпечення стійкого розвитку системи освіти особистості, стабільного функціонування закладів освіти;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-інтеграція освіти до європейського  і освітніх процесів;</w:t>
      </w:r>
    </w:p>
    <w:p w:rsidR="00404D08" w:rsidRPr="005221C9" w:rsidRDefault="00404D08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-підвищення якості навчання, кваліфікації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педагогічних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працівників</w:t>
      </w:r>
      <w:r w:rsidR="00117632" w:rsidRPr="005221C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17632" w:rsidRPr="005221C9" w:rsidRDefault="00117632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-забезпечення енергоефективності будівель та приміщень, покращення матеріально-технічної бази, благоустрій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територій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17632" w:rsidRPr="005221C9" w:rsidRDefault="00117632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-інформатизація освіти;</w:t>
      </w:r>
    </w:p>
    <w:p w:rsidR="00117632" w:rsidRPr="005221C9" w:rsidRDefault="00117632" w:rsidP="002B3097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-участь обдарованих дітей в інтелектуальних, творчих та спортивних заходах, участь у спортивних заходах.</w:t>
      </w:r>
    </w:p>
    <w:p w:rsidR="00B47882" w:rsidRPr="005221C9" w:rsidRDefault="008B19BF" w:rsidP="001E13E0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b/>
          <w:sz w:val="24"/>
          <w:szCs w:val="24"/>
          <w:lang w:val="uk-UA"/>
        </w:rPr>
        <w:t>Охорона здоров'я</w:t>
      </w:r>
    </w:p>
    <w:p w:rsidR="00FB4DD6" w:rsidRPr="005221C9" w:rsidRDefault="00985575" w:rsidP="005700C2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На території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ради</w:t>
      </w:r>
      <w:r w:rsidR="000513AD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4D7A" w:rsidRPr="005221C9">
        <w:rPr>
          <w:rFonts w:ascii="Times New Roman" w:hAnsi="Times New Roman" w:cs="Times New Roman"/>
          <w:sz w:val="24"/>
          <w:szCs w:val="24"/>
          <w:lang w:val="uk-UA"/>
        </w:rPr>
        <w:t>функціонує</w:t>
      </w:r>
      <w:r w:rsidR="000513AD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КНП Саф</w:t>
      </w:r>
      <w:r w:rsidR="000513AD" w:rsidRPr="005221C9">
        <w:rPr>
          <w:rFonts w:ascii="Calibri" w:hAnsi="Calibri" w:cs="Calibri"/>
          <w:sz w:val="24"/>
          <w:szCs w:val="24"/>
          <w:lang w:val="uk-UA"/>
        </w:rPr>
        <w:t>'</w:t>
      </w:r>
      <w:r w:rsidR="000513AD" w:rsidRPr="005221C9">
        <w:rPr>
          <w:rFonts w:ascii="Times New Roman" w:hAnsi="Times New Roman" w:cs="Times New Roman"/>
          <w:sz w:val="24"/>
          <w:szCs w:val="24"/>
          <w:lang w:val="uk-UA"/>
        </w:rPr>
        <w:t>янів</w:t>
      </w:r>
      <w:r w:rsidR="00402001">
        <w:rPr>
          <w:rFonts w:ascii="Times New Roman" w:hAnsi="Times New Roman" w:cs="Times New Roman"/>
          <w:sz w:val="24"/>
          <w:szCs w:val="24"/>
          <w:lang w:val="uk-UA"/>
        </w:rPr>
        <w:t>ської сільської ради</w:t>
      </w:r>
      <w:r w:rsidR="00232DD1">
        <w:rPr>
          <w:rFonts w:ascii="Times New Roman" w:hAnsi="Times New Roman" w:cs="Times New Roman"/>
          <w:sz w:val="24"/>
          <w:szCs w:val="24"/>
          <w:lang w:val="uk-UA"/>
        </w:rPr>
        <w:t xml:space="preserve"> «Центральна районна лікарня»</w:t>
      </w:r>
      <w:r w:rsidR="004020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13AD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FB4DD6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складу </w:t>
      </w:r>
      <w:r w:rsidR="00044BC3">
        <w:rPr>
          <w:rFonts w:ascii="Times New Roman" w:hAnsi="Times New Roman" w:cs="Times New Roman"/>
          <w:sz w:val="24"/>
          <w:szCs w:val="24"/>
          <w:lang w:val="uk-UA"/>
        </w:rPr>
        <w:t xml:space="preserve">якої </w:t>
      </w:r>
      <w:r w:rsidR="00FB4DD6" w:rsidRPr="005221C9">
        <w:rPr>
          <w:rFonts w:ascii="Times New Roman" w:hAnsi="Times New Roman" w:cs="Times New Roman"/>
          <w:sz w:val="24"/>
          <w:szCs w:val="24"/>
          <w:lang w:val="uk-UA"/>
        </w:rPr>
        <w:t>входять :</w:t>
      </w:r>
    </w:p>
    <w:p w:rsidR="000513AD" w:rsidRPr="005221C9" w:rsidRDefault="00FB4DD6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02001">
        <w:rPr>
          <w:rFonts w:ascii="Times New Roman" w:hAnsi="Times New Roman" w:cs="Times New Roman"/>
          <w:sz w:val="24"/>
          <w:szCs w:val="24"/>
          <w:lang w:val="uk-UA"/>
        </w:rPr>
        <w:t>1-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лікарня з відділеннями </w:t>
      </w:r>
      <w:r w:rsidR="00DF484E" w:rsidRPr="005221C9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220 ліжок,</w:t>
      </w:r>
    </w:p>
    <w:p w:rsidR="00FB4DD6" w:rsidRPr="005221C9" w:rsidRDefault="00FB4DD6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-14- амбулаторій ;</w:t>
      </w:r>
    </w:p>
    <w:p w:rsidR="00FB4DD6" w:rsidRPr="005221C9" w:rsidRDefault="00DF484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-4- фел</w:t>
      </w:r>
      <w:r w:rsidR="00967D0D">
        <w:rPr>
          <w:rFonts w:ascii="Times New Roman" w:hAnsi="Times New Roman" w:cs="Times New Roman"/>
          <w:sz w:val="24"/>
          <w:szCs w:val="24"/>
          <w:lang w:val="uk-UA"/>
        </w:rPr>
        <w:t>ьдшерсько – акушерських пункта.</w:t>
      </w:r>
    </w:p>
    <w:p w:rsidR="00DF484E" w:rsidRPr="005221C9" w:rsidRDefault="00DF484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Багатопрофільна лікарня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представлення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такими відділеннями та допоміжними службами:</w:t>
      </w:r>
    </w:p>
    <w:p w:rsidR="00DF484E" w:rsidRPr="005221C9" w:rsidRDefault="00DF484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-хірургічне відділення-30 ліжок;</w:t>
      </w:r>
    </w:p>
    <w:p w:rsidR="00DF484E" w:rsidRPr="005221C9" w:rsidRDefault="00DF484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-терапевтичне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відділення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- 50 ліжок;</w:t>
      </w:r>
    </w:p>
    <w:p w:rsidR="00DF484E" w:rsidRPr="005221C9" w:rsidRDefault="009A36A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>-інфекційне відділення з дермато-венерологічними ліжками-80 ліжок;</w:t>
      </w:r>
    </w:p>
    <w:p w:rsidR="009A36A2" w:rsidRPr="005221C9" w:rsidRDefault="000E40A8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Паліативне</w:t>
      </w:r>
      <w:r w:rsidR="009A36A2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відділення-20 ліжок;</w:t>
      </w:r>
    </w:p>
    <w:p w:rsidR="009A36A2" w:rsidRPr="005221C9" w:rsidRDefault="009A36A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-Палата інтенс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вної терапії;</w:t>
      </w:r>
    </w:p>
    <w:p w:rsidR="009A36A2" w:rsidRPr="005221C9" w:rsidRDefault="009A36A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-Допоміжні служби рентгенологічна служба, кабінет УЗД, ендоскопічний кабінет, центральне стерилізаційне  відділення ;</w:t>
      </w:r>
    </w:p>
    <w:p w:rsidR="009323CF" w:rsidRPr="005221C9" w:rsidRDefault="009A36A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лабораторія з підрозділами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клініко-діагностична,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біохімічна, бактеріологічна, серологічна).</w:t>
      </w:r>
    </w:p>
    <w:p w:rsidR="009A36A2" w:rsidRPr="005221C9" w:rsidRDefault="009323CF" w:rsidP="005700C2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Також були передані повноваження з управління 2 амбулаторії загальної практики сімейної медицини,1 фельд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>шерський пункт Суворовської сели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щної ради до моменту у тримання ліцензії на медичну практику</w:t>
      </w:r>
    </w:p>
    <w:p w:rsidR="004900EB" w:rsidRPr="005221C9" w:rsidRDefault="009A36A2" w:rsidP="005700C2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У рамках подальшої реалізації</w:t>
      </w:r>
      <w:r w:rsidR="009323C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медичної реформи у 2021-2022 роках закінчиться 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процес створення закладу </w:t>
      </w:r>
      <w:r w:rsidR="009323C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Охорони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здоро</w:t>
      </w:r>
      <w:r w:rsidR="005864DA" w:rsidRPr="005221C9">
        <w:rPr>
          <w:rFonts w:ascii="Calibri" w:hAnsi="Calibri" w:cs="Calibri"/>
          <w:sz w:val="24"/>
          <w:szCs w:val="24"/>
          <w:lang w:val="uk-UA"/>
        </w:rPr>
        <w:t>в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’я</w:t>
      </w:r>
      <w:r w:rsidR="009323C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в Суворовській селищній раді, після чого 3 заклади (</w:t>
      </w:r>
      <w:r w:rsidR="00BE4D7A" w:rsidRPr="005221C9">
        <w:rPr>
          <w:rFonts w:ascii="Times New Roman" w:hAnsi="Times New Roman" w:cs="Times New Roman"/>
          <w:sz w:val="24"/>
          <w:szCs w:val="24"/>
          <w:lang w:val="uk-UA"/>
        </w:rPr>
        <w:t>амбулаторія</w:t>
      </w:r>
      <w:r w:rsidR="009323C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</w:t>
      </w:r>
      <w:r w:rsidR="00967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23CF" w:rsidRPr="005221C9">
        <w:rPr>
          <w:rFonts w:ascii="Times New Roman" w:hAnsi="Times New Roman" w:cs="Times New Roman"/>
          <w:sz w:val="24"/>
          <w:szCs w:val="24"/>
          <w:lang w:val="uk-UA"/>
        </w:rPr>
        <w:t>сімейної медицини смт. Суворово, с.Кирнички та фельдшерський пункт с.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23C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Нова Покровка) </w:t>
      </w:r>
      <w:r w:rsidR="005221C9" w:rsidRPr="005221C9">
        <w:rPr>
          <w:rFonts w:ascii="Times New Roman" w:hAnsi="Times New Roman" w:cs="Times New Roman"/>
          <w:sz w:val="24"/>
          <w:szCs w:val="24"/>
          <w:lang w:val="uk-UA"/>
        </w:rPr>
        <w:t>перейдуть</w:t>
      </w:r>
      <w:r w:rsidR="004900E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до Суворовсьскої селищної ради.</w:t>
      </w:r>
    </w:p>
    <w:p w:rsidR="004900EB" w:rsidRPr="005221C9" w:rsidRDefault="005221C9" w:rsidP="005700C2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Пріоритетами</w:t>
      </w:r>
      <w:r w:rsidR="004900E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галузі є: продовження реалізації програми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державних</w:t>
      </w:r>
      <w:r w:rsidR="000E40A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гарантій медичного обс</w:t>
      </w:r>
      <w:r w:rsidR="004900EB" w:rsidRPr="005221C9">
        <w:rPr>
          <w:rFonts w:ascii="Times New Roman" w:hAnsi="Times New Roman" w:cs="Times New Roman"/>
          <w:sz w:val="24"/>
          <w:szCs w:val="24"/>
          <w:lang w:val="uk-UA"/>
        </w:rPr>
        <w:t>луговування населення громади та втілення її заходів у повсякденну практичну діяльність закладів охорони здоров</w:t>
      </w:r>
      <w:r w:rsidR="004900EB" w:rsidRPr="005221C9">
        <w:rPr>
          <w:rFonts w:ascii="Calibri" w:hAnsi="Calibri" w:cs="Calibri"/>
          <w:sz w:val="24"/>
          <w:szCs w:val="24"/>
          <w:lang w:val="uk-UA"/>
        </w:rPr>
        <w:t>'</w:t>
      </w:r>
      <w:r w:rsidR="004900EB" w:rsidRPr="005221C9">
        <w:rPr>
          <w:rFonts w:ascii="Times New Roman" w:hAnsi="Times New Roman" w:cs="Times New Roman"/>
          <w:sz w:val="24"/>
          <w:szCs w:val="24"/>
          <w:lang w:val="uk-UA"/>
        </w:rPr>
        <w:t>я.</w:t>
      </w:r>
    </w:p>
    <w:p w:rsidR="009A36A2" w:rsidRPr="005221C9" w:rsidRDefault="004900EB" w:rsidP="005700C2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Підвищення якості та доступних</w:t>
      </w:r>
      <w:r w:rsidR="009323C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медичних послуг, поліпшення здоров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 громадян, а також профілактика захворювання, шляхом створення умов для забезпечення високоякісної медичної допомоги кожному ме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канцю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янівської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ради при наданні первинної</w:t>
      </w:r>
      <w:r w:rsidR="00C711E5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 спеціалізованої медичної допомоги, </w:t>
      </w:r>
      <w:r w:rsidR="005864DA" w:rsidRPr="005221C9">
        <w:rPr>
          <w:rFonts w:ascii="Times New Roman" w:hAnsi="Times New Roman" w:cs="Times New Roman"/>
          <w:sz w:val="24"/>
          <w:szCs w:val="24"/>
          <w:lang w:val="uk-UA"/>
        </w:rPr>
        <w:t>запровадження</w:t>
      </w:r>
      <w:r w:rsidR="00C711E5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сучасних медичних технологій у практику надання медичної допомоги, сприяння зміцнення стану здоров</w:t>
      </w:r>
      <w:r w:rsidR="00C711E5" w:rsidRPr="005221C9">
        <w:rPr>
          <w:rFonts w:ascii="Calibri" w:hAnsi="Calibri" w:cs="Calibri"/>
          <w:sz w:val="24"/>
          <w:szCs w:val="24"/>
          <w:lang w:val="uk-UA"/>
        </w:rPr>
        <w:t>'</w:t>
      </w:r>
      <w:r w:rsidR="00C711E5" w:rsidRPr="005221C9">
        <w:rPr>
          <w:rFonts w:ascii="Times New Roman" w:hAnsi="Times New Roman" w:cs="Times New Roman"/>
          <w:sz w:val="24"/>
          <w:szCs w:val="24"/>
          <w:lang w:val="uk-UA"/>
        </w:rPr>
        <w:t>я та збільшення тривалості життя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11E5" w:rsidRPr="005221C9">
        <w:rPr>
          <w:rFonts w:ascii="Times New Roman" w:hAnsi="Times New Roman" w:cs="Times New Roman"/>
          <w:sz w:val="24"/>
          <w:szCs w:val="24"/>
          <w:lang w:val="uk-UA"/>
        </w:rPr>
        <w:t>населення.</w:t>
      </w:r>
    </w:p>
    <w:p w:rsidR="00C711E5" w:rsidRPr="005221C9" w:rsidRDefault="00C711E5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Основні заходи досягнення визначених завдань:</w:t>
      </w:r>
    </w:p>
    <w:p w:rsidR="00C711E5" w:rsidRPr="005221C9" w:rsidRDefault="00C711E5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-подальше реформування сфери охорони здоров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я Саф'янівської сільської ради, надання 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>медичної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допомоги населенню на первинному та вторинному рівні.;</w:t>
      </w:r>
    </w:p>
    <w:p w:rsidR="00C711E5" w:rsidRPr="005221C9" w:rsidRDefault="00C711E5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-покращення матеріально-технічної бази закладів охорони здоров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 задля скорочення маршруту пацієнта та максимального наближення медичної допомоги;</w:t>
      </w:r>
    </w:p>
    <w:p w:rsidR="00C711E5" w:rsidRPr="005221C9" w:rsidRDefault="00C711E5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-здійснення заходів, направлених на боротьбу з інфекційними хворобами, а також вдосконалення маршруту пацієнта</w:t>
      </w:r>
      <w:r w:rsidR="00ED6104" w:rsidRPr="005221C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D6104" w:rsidRPr="005221C9" w:rsidRDefault="00ED6104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-забезпечення доступності і безоплатності надання медичної допомоги хворим на інфекційні х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>вороби у всіх структурних підроз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ділах.;</w:t>
      </w:r>
    </w:p>
    <w:p w:rsidR="00ED6104" w:rsidRPr="005221C9" w:rsidRDefault="00ED6104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85307" w:rsidRPr="005221C9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державних, обласних та регіональних цільових програм у сфері «охорона здоров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я»;</w:t>
      </w:r>
    </w:p>
    <w:p w:rsidR="00B27CA4" w:rsidRPr="005221C9" w:rsidRDefault="00ED6104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-створення сучасної технічної бази нада</w:t>
      </w:r>
      <w:r w:rsidR="00B27CA4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ння медичної допомоги населенню в умовах розповсюдження гострої </w:t>
      </w:r>
      <w:r w:rsidR="00385307" w:rsidRPr="005221C9">
        <w:rPr>
          <w:rFonts w:ascii="Times New Roman" w:hAnsi="Times New Roman" w:cs="Times New Roman"/>
          <w:sz w:val="24"/>
          <w:szCs w:val="24"/>
          <w:lang w:val="uk-UA"/>
        </w:rPr>
        <w:t>респіраторної</w:t>
      </w:r>
      <w:r w:rsidR="00B27CA4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хвороби COV</w:t>
      </w:r>
      <w:r w:rsidR="0040200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27CA4" w:rsidRPr="005221C9">
        <w:rPr>
          <w:rFonts w:ascii="Times New Roman" w:hAnsi="Times New Roman" w:cs="Times New Roman"/>
          <w:sz w:val="24"/>
          <w:szCs w:val="24"/>
          <w:lang w:val="uk-UA"/>
        </w:rPr>
        <w:t>D-19, спричиненої  коронавірусом SARS-CoV-2 .</w:t>
      </w:r>
    </w:p>
    <w:p w:rsidR="00B27CA4" w:rsidRPr="005221C9" w:rsidRDefault="00B27CA4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Результати, яких планується досягти :</w:t>
      </w:r>
    </w:p>
    <w:p w:rsidR="00B27CA4" w:rsidRPr="005221C9" w:rsidRDefault="00B27CA4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-досягнення благополучної епідемічної ситуації, при якої </w:t>
      </w:r>
      <w:r w:rsidR="00385307" w:rsidRPr="005221C9">
        <w:rPr>
          <w:rFonts w:ascii="Times New Roman" w:hAnsi="Times New Roman" w:cs="Times New Roman"/>
          <w:sz w:val="24"/>
          <w:szCs w:val="24"/>
          <w:lang w:val="uk-UA"/>
        </w:rPr>
        <w:t>інфекційні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хвороби або </w:t>
      </w:r>
      <w:r w:rsidR="00385307" w:rsidRPr="005221C9">
        <w:rPr>
          <w:rFonts w:ascii="Times New Roman" w:hAnsi="Times New Roman" w:cs="Times New Roman"/>
          <w:sz w:val="24"/>
          <w:szCs w:val="24"/>
          <w:lang w:val="uk-UA"/>
        </w:rPr>
        <w:t>реєструються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їх поодинокі випадки, та відсутні сприятливі умови поширення цих хвороб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27CA4" w:rsidRPr="005221C9" w:rsidRDefault="00B27CA4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покращення доступності населення до медичної </w:t>
      </w:r>
      <w:r w:rsidR="00F95562" w:rsidRPr="005221C9">
        <w:rPr>
          <w:rFonts w:ascii="Times New Roman" w:hAnsi="Times New Roman" w:cs="Times New Roman"/>
          <w:sz w:val="24"/>
          <w:szCs w:val="24"/>
          <w:lang w:val="uk-UA"/>
        </w:rPr>
        <w:t>допомоги первинного та вторинного рівня;</w:t>
      </w:r>
    </w:p>
    <w:p w:rsidR="00F95562" w:rsidRPr="005221C9" w:rsidRDefault="00F9556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-своєчасне та якісне надання екстреної медичної допомоги;</w:t>
      </w:r>
    </w:p>
    <w:p w:rsidR="00F95562" w:rsidRPr="005221C9" w:rsidRDefault="00F9556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-залежність забезпечення медичного закладу фінансово від кількості наданих послуг та пролікованих випадків;</w:t>
      </w:r>
    </w:p>
    <w:p w:rsidR="00F95562" w:rsidRPr="005221C9" w:rsidRDefault="00F9556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-поліпшення використання стаціонарних потужностей необхідних для доступності населення до всіх видів стаціонарної допомоги;</w:t>
      </w:r>
    </w:p>
    <w:p w:rsidR="00F95562" w:rsidRPr="005221C9" w:rsidRDefault="00F9556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-забезпечення сучасної діагностики та лікування захворювань;</w:t>
      </w:r>
    </w:p>
    <w:p w:rsidR="00F95562" w:rsidRPr="005221C9" w:rsidRDefault="00F9556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-створення  системи епіднагляду</w:t>
      </w:r>
      <w:r w:rsidR="00B57D07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 соціально значущими хворобами та поліпшення епідеміологічної ситуації з з розповсюдження респіраторної хвороби COVID-19? спричиненої коронавірусом SARS-CoV-2 </w:t>
      </w:r>
      <w:r w:rsidR="00117632" w:rsidRPr="005221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4DD6" w:rsidRPr="000F73B2" w:rsidRDefault="009F5082" w:rsidP="000513AD">
      <w:pPr>
        <w:tabs>
          <w:tab w:val="left" w:pos="3945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73B2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FB4DD6" w:rsidRPr="000F73B2">
        <w:rPr>
          <w:rFonts w:ascii="Times New Roman" w:hAnsi="Times New Roman" w:cs="Times New Roman"/>
          <w:b/>
          <w:sz w:val="24"/>
          <w:szCs w:val="24"/>
          <w:lang w:val="uk-UA"/>
        </w:rPr>
        <w:t>ультура і мистецтво</w:t>
      </w:r>
    </w:p>
    <w:p w:rsidR="00FB4DD6" w:rsidRPr="005221C9" w:rsidRDefault="00FB4DD6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За рахунок місцевого бюджету</w:t>
      </w:r>
      <w:r w:rsidR="008B19B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(Саф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ТГ)</w:t>
      </w:r>
      <w:r w:rsidR="008B19B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утримуватимуться 42 заклади галузі</w:t>
      </w:r>
      <w:r w:rsidR="008B19BF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«Культура та мистецтво»:</w:t>
      </w:r>
    </w:p>
    <w:p w:rsidR="008B19BF" w:rsidRPr="005221C9" w:rsidRDefault="008B19BF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 заклад КЗ «Публічна бібліотека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ради» до складу входять 17 бібліотечні філії,</w:t>
      </w:r>
    </w:p>
    <w:p w:rsidR="008B19BF" w:rsidRPr="005221C9" w:rsidRDefault="008B19BF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 палац культури</w:t>
      </w:r>
      <w:r w:rsidR="00232DD1">
        <w:rPr>
          <w:rFonts w:ascii="Times New Roman" w:hAnsi="Times New Roman" w:cs="Times New Roman"/>
          <w:sz w:val="24"/>
          <w:szCs w:val="24"/>
          <w:lang w:val="uk-UA"/>
        </w:rPr>
        <w:t>, 6 клуб</w:t>
      </w:r>
      <w:r w:rsidR="0065144C" w:rsidRPr="005221C9">
        <w:rPr>
          <w:rFonts w:ascii="Times New Roman" w:hAnsi="Times New Roman" w:cs="Times New Roman"/>
          <w:sz w:val="24"/>
          <w:szCs w:val="24"/>
          <w:lang w:val="uk-UA"/>
        </w:rPr>
        <w:t>ів,11 будинків культури;</w:t>
      </w:r>
    </w:p>
    <w:p w:rsidR="0065144C" w:rsidRPr="005221C9" w:rsidRDefault="0065144C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 дитяча музична школа до складу 6 філій;</w:t>
      </w:r>
    </w:p>
    <w:p w:rsidR="0065144C" w:rsidRPr="005221C9" w:rsidRDefault="0065144C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-21 народний колектив із званням «народний».</w:t>
      </w:r>
    </w:p>
    <w:p w:rsidR="0065144C" w:rsidRPr="005221C9" w:rsidRDefault="00BE4D7A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Пріоритети</w:t>
      </w:r>
      <w:r w:rsidR="0065144C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галузі:</w:t>
      </w:r>
    </w:p>
    <w:p w:rsidR="0065144C" w:rsidRPr="005221C9" w:rsidRDefault="0065144C" w:rsidP="005700C2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Збереження та відродження національних та культурних традицій, звичаїв, реалізація прав на доступ до культурних надбань, </w:t>
      </w:r>
      <w:r w:rsidR="00592752" w:rsidRPr="005221C9">
        <w:rPr>
          <w:rFonts w:ascii="Times New Roman" w:hAnsi="Times New Roman" w:cs="Times New Roman"/>
          <w:sz w:val="24"/>
          <w:szCs w:val="24"/>
          <w:lang w:val="uk-UA"/>
        </w:rPr>
        <w:t>підтримка та розвиток творчих ініціатив.</w:t>
      </w:r>
    </w:p>
    <w:p w:rsidR="00592752" w:rsidRPr="005221C9" w:rsidRDefault="0059275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Для досягнення визначених завдань </w:t>
      </w:r>
      <w:r w:rsidR="005118BC" w:rsidRPr="005221C9">
        <w:rPr>
          <w:rFonts w:ascii="Times New Roman" w:hAnsi="Times New Roman" w:cs="Times New Roman"/>
          <w:sz w:val="24"/>
          <w:szCs w:val="24"/>
          <w:lang w:val="uk-UA"/>
        </w:rPr>
        <w:t>визначені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такі основні заходи:</w:t>
      </w:r>
    </w:p>
    <w:p w:rsidR="00592752" w:rsidRPr="005221C9" w:rsidRDefault="0059275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-проведення свят, конкурсів та фестивалів, участь у міжнародних  конкурсах та </w:t>
      </w:r>
      <w:r w:rsidR="005118BC" w:rsidRPr="005221C9">
        <w:rPr>
          <w:rFonts w:ascii="Times New Roman" w:hAnsi="Times New Roman" w:cs="Times New Roman"/>
          <w:sz w:val="24"/>
          <w:szCs w:val="24"/>
          <w:lang w:val="uk-UA"/>
        </w:rPr>
        <w:t>всеукраїнських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заходах;</w:t>
      </w:r>
    </w:p>
    <w:p w:rsidR="00592752" w:rsidRPr="005221C9" w:rsidRDefault="0059275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розвиток музичного мистецтва;</w:t>
      </w:r>
    </w:p>
    <w:p w:rsidR="00592752" w:rsidRPr="005221C9" w:rsidRDefault="0059275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-покращення матеріально- технічної бази закладів культури;</w:t>
      </w:r>
    </w:p>
    <w:p w:rsidR="00592752" w:rsidRPr="005221C9" w:rsidRDefault="00592752" w:rsidP="005700C2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Результати, яких планується досягти від реалізації заходів:</w:t>
      </w:r>
    </w:p>
    <w:p w:rsidR="00592752" w:rsidRPr="005221C9" w:rsidRDefault="00592752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-збереження будівель закладів</w:t>
      </w:r>
      <w:r w:rsidR="00360867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культури та підвищення якості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їх функціонування</w:t>
      </w:r>
      <w:r w:rsidR="00360867" w:rsidRPr="005221C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0867" w:rsidRPr="005221C9" w:rsidRDefault="00360867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покращення матеріально- технічної бази закладів культури;</w:t>
      </w:r>
    </w:p>
    <w:p w:rsidR="00360867" w:rsidRPr="005221C9" w:rsidRDefault="00360867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-формування культурних цінностей культури;</w:t>
      </w:r>
    </w:p>
    <w:p w:rsidR="00360867" w:rsidRPr="005221C9" w:rsidRDefault="00360867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збереження традицій та культурного різноманіття;</w:t>
      </w:r>
    </w:p>
    <w:p w:rsidR="00360867" w:rsidRPr="005221C9" w:rsidRDefault="00301E8B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Фізична культура і спорт:</w:t>
      </w:r>
    </w:p>
    <w:p w:rsidR="00301E8B" w:rsidRPr="005221C9" w:rsidRDefault="00301E8B" w:rsidP="005700C2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За рахунок бюджету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територіальної громади утримуватиметься 2 установи:</w:t>
      </w:r>
    </w:p>
    <w:p w:rsidR="00301E8B" w:rsidRPr="005221C9" w:rsidRDefault="00301E8B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-1 Палац Спорту;</w:t>
      </w:r>
    </w:p>
    <w:p w:rsidR="00301E8B" w:rsidRPr="005221C9" w:rsidRDefault="00301E8B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-1 </w:t>
      </w:r>
      <w:r w:rsidR="00BE4D7A" w:rsidRPr="005221C9">
        <w:rPr>
          <w:rFonts w:ascii="Times New Roman" w:hAnsi="Times New Roman" w:cs="Times New Roman"/>
          <w:sz w:val="24"/>
          <w:szCs w:val="24"/>
          <w:lang w:val="uk-UA"/>
        </w:rPr>
        <w:t>дитячо-юнацька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18BC" w:rsidRPr="005221C9">
        <w:rPr>
          <w:rFonts w:ascii="Times New Roman" w:hAnsi="Times New Roman" w:cs="Times New Roman"/>
          <w:sz w:val="24"/>
          <w:szCs w:val="24"/>
          <w:lang w:val="uk-UA"/>
        </w:rPr>
        <w:t>спортивна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школа(ДЮСШ).</w:t>
      </w:r>
    </w:p>
    <w:p w:rsidR="00301E8B" w:rsidRPr="005221C9" w:rsidRDefault="00301E8B" w:rsidP="005700C2">
      <w:pPr>
        <w:tabs>
          <w:tab w:val="left" w:pos="3945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Мета діяльності галузі «Фізична культура та спорт» є збереження та підтримка діяльності закладів фізкультури та спорту, підвищення рівня здоров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я, фізичного та </w:t>
      </w:r>
      <w:r w:rsidR="008011E0" w:rsidRPr="005221C9">
        <w:rPr>
          <w:rFonts w:ascii="Times New Roman" w:hAnsi="Times New Roman" w:cs="Times New Roman"/>
          <w:sz w:val="24"/>
          <w:szCs w:val="24"/>
          <w:lang w:val="uk-UA"/>
        </w:rPr>
        <w:t>духовного розвитку населення.</w:t>
      </w:r>
    </w:p>
    <w:p w:rsidR="008011E0" w:rsidRPr="005221C9" w:rsidRDefault="008011E0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Пріоритети розвитку галузі є:</w:t>
      </w:r>
    </w:p>
    <w:p w:rsidR="008011E0" w:rsidRPr="005221C9" w:rsidRDefault="008011E0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Залучення молоді до занять фізичною культурою та спортом.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Покращення стану спортивної бази, зміцнення іміджу громади.</w:t>
      </w:r>
    </w:p>
    <w:p w:rsidR="008011E0" w:rsidRPr="005221C9" w:rsidRDefault="008011E0" w:rsidP="005700C2">
      <w:pPr>
        <w:tabs>
          <w:tab w:val="left" w:pos="3945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Основні заходи досягнення визначених завдань:</w:t>
      </w:r>
    </w:p>
    <w:p w:rsidR="008011E0" w:rsidRPr="005221C9" w:rsidRDefault="008011E0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-проведення навчально-тренувальних зборів за місцем проживан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, проведення зборів та змагань </w:t>
      </w:r>
      <w:r w:rsidR="003A13A3" w:rsidRPr="005221C9">
        <w:rPr>
          <w:rFonts w:ascii="Times New Roman" w:hAnsi="Times New Roman" w:cs="Times New Roman"/>
          <w:sz w:val="24"/>
          <w:szCs w:val="24"/>
          <w:lang w:val="uk-UA"/>
        </w:rPr>
        <w:t>для учнів позашкільного закладу  дитячо-юнацької спортивної школи;</w:t>
      </w:r>
    </w:p>
    <w:p w:rsidR="003A13A3" w:rsidRPr="005221C9" w:rsidRDefault="003A13A3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-проведення спартакіади між представниками державних установ та депутатів;</w:t>
      </w:r>
    </w:p>
    <w:p w:rsidR="003A13A3" w:rsidRPr="005221C9" w:rsidRDefault="003A13A3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-організація </w:t>
      </w:r>
      <w:r w:rsidR="005118BC" w:rsidRPr="005221C9">
        <w:rPr>
          <w:rFonts w:ascii="Times New Roman" w:hAnsi="Times New Roman" w:cs="Times New Roman"/>
          <w:sz w:val="24"/>
          <w:szCs w:val="24"/>
          <w:lang w:val="uk-UA"/>
        </w:rPr>
        <w:t>турнірів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A13A3" w:rsidRPr="005221C9" w:rsidRDefault="003A13A3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-придбання ДЮСШ та Палацу Спорту спортивного інвентаря (м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ячі футбольні, волейбольні, </w:t>
      </w:r>
      <w:r w:rsidR="00BE4D7A" w:rsidRPr="005221C9">
        <w:rPr>
          <w:rFonts w:ascii="Times New Roman" w:hAnsi="Times New Roman" w:cs="Times New Roman"/>
          <w:sz w:val="24"/>
          <w:szCs w:val="24"/>
          <w:lang w:val="uk-UA"/>
        </w:rPr>
        <w:t>баскетбольні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3A13A3" w:rsidRPr="005221C9" w:rsidRDefault="003A13A3" w:rsidP="005700C2">
      <w:pPr>
        <w:tabs>
          <w:tab w:val="left" w:pos="3945"/>
        </w:tabs>
        <w:ind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Для проведення спортивної роботи  на 2022-20</w:t>
      </w:r>
      <w:r w:rsidR="00125BEC" w:rsidRPr="005221C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D2E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25BEC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роки заплановано всього 69 заходів збору та змагань.</w:t>
      </w:r>
    </w:p>
    <w:p w:rsidR="00125BEC" w:rsidRPr="005221C9" w:rsidRDefault="00125BEC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Середні витрати на заходи, збори та змагання складатимуть:</w:t>
      </w:r>
      <w:r w:rsidR="006A1F1B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7D0D">
        <w:rPr>
          <w:rFonts w:ascii="Times New Roman" w:hAnsi="Times New Roman" w:cs="Times New Roman"/>
          <w:sz w:val="24"/>
          <w:szCs w:val="24"/>
          <w:lang w:val="uk-UA"/>
        </w:rPr>
        <w:t>на 2022 рік-18,4 тис.грн.</w:t>
      </w:r>
      <w:r w:rsidR="007668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, на 2023-20,2тис.грн.</w:t>
      </w:r>
    </w:p>
    <w:p w:rsidR="00125BEC" w:rsidRPr="005221C9" w:rsidRDefault="00125BEC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Результати, яких планується досягти від реалізації заходів:</w:t>
      </w:r>
    </w:p>
    <w:p w:rsidR="00125BEC" w:rsidRPr="005221C9" w:rsidRDefault="00125BEC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-розвиток фізичної культури та спорту ;</w:t>
      </w:r>
    </w:p>
    <w:p w:rsidR="00125BEC" w:rsidRPr="005221C9" w:rsidRDefault="00A0026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-збільшення</w:t>
      </w:r>
      <w:r w:rsidR="00125BEC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кількості осіб, залучених до 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систематичних  занять з фізичної культури та спортом (до 15% від загальної кількості учнівської молоді);</w:t>
      </w:r>
    </w:p>
    <w:p w:rsidR="00A0026E" w:rsidRPr="005221C9" w:rsidRDefault="00A0026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-підвищення рівня навчально-тренувального процесу;</w:t>
      </w:r>
    </w:p>
    <w:p w:rsidR="00A0026E" w:rsidRPr="005221C9" w:rsidRDefault="00A0026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 покращення стану матеріально- технічної бази;</w:t>
      </w:r>
    </w:p>
    <w:p w:rsidR="00A0026E" w:rsidRDefault="00A0026E" w:rsidP="000513A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-якісний підбір кадрів.</w:t>
      </w:r>
    </w:p>
    <w:p w:rsidR="005D7490" w:rsidRDefault="005D7490" w:rsidP="00940E8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AEF" w:rsidRDefault="00281AEF" w:rsidP="00281AEF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1C9">
        <w:rPr>
          <w:rFonts w:ascii="Times New Roman" w:hAnsi="Times New Roman" w:cs="Times New Roman"/>
          <w:b/>
          <w:sz w:val="28"/>
          <w:szCs w:val="28"/>
          <w:lang w:val="uk-UA"/>
        </w:rPr>
        <w:t>ІІІ. Загальні показники бюджету</w:t>
      </w:r>
    </w:p>
    <w:p w:rsidR="00281AEF" w:rsidRDefault="00281AEF" w:rsidP="00281AEF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Показники обсягу видатків на 2022-202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роки будуть змінюватися згідно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реальними показниками бюджету.</w:t>
      </w:r>
    </w:p>
    <w:p w:rsidR="00281AEF" w:rsidRDefault="00281AEF" w:rsidP="00281AEF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2022-2024 роках планування буде направлене на зміцнення спроможності бюджету, підвищення удосконалення планування та результативності використання бюджетних ресурсів, а також збереження міжбюджетних відносин, з урахуванням відповідних прийнятих змін у нормативно-правовій сфері, а також в адміністративно- </w:t>
      </w:r>
      <w:r w:rsidR="002F72EF">
        <w:rPr>
          <w:rFonts w:ascii="Times New Roman" w:hAnsi="Times New Roman" w:cs="Times New Roman"/>
          <w:sz w:val="24"/>
          <w:szCs w:val="24"/>
          <w:lang w:val="uk-UA"/>
        </w:rPr>
        <w:t>територіальному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устрої. Складання проектів бюджету буде з дотриманням вимог БКУ та ПКУ</w:t>
      </w:r>
      <w:r w:rsidR="00721A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229E" w:rsidRDefault="00CE229E" w:rsidP="00281AEF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Доходна та видаткова частини бюджету Саф’янівської сільської терріториальної ромади прогнозуються:</w:t>
      </w:r>
    </w:p>
    <w:p w:rsidR="00CE229E" w:rsidRPr="00036190" w:rsidRDefault="00CE229E" w:rsidP="00281AEF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619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-2022р.-  </w:t>
      </w:r>
      <w:r w:rsidR="00036190" w:rsidRPr="00036190">
        <w:rPr>
          <w:rFonts w:ascii="Times New Roman" w:hAnsi="Times New Roman" w:cs="Times New Roman"/>
          <w:sz w:val="24"/>
          <w:szCs w:val="24"/>
        </w:rPr>
        <w:t>353348.1</w:t>
      </w:r>
      <w:r w:rsidRPr="00036190">
        <w:rPr>
          <w:rFonts w:ascii="Times New Roman" w:hAnsi="Times New Roman" w:cs="Times New Roman"/>
          <w:sz w:val="24"/>
          <w:szCs w:val="24"/>
          <w:lang w:val="uk-UA"/>
        </w:rPr>
        <w:t>тис.грн.</w:t>
      </w:r>
      <w:r w:rsidR="005B4FE0">
        <w:rPr>
          <w:rFonts w:ascii="Times New Roman" w:hAnsi="Times New Roman" w:cs="Times New Roman"/>
          <w:sz w:val="24"/>
          <w:szCs w:val="24"/>
          <w:lang w:val="uk-UA"/>
        </w:rPr>
        <w:t xml:space="preserve">  (-3,2%)</w:t>
      </w:r>
    </w:p>
    <w:p w:rsidR="00CE229E" w:rsidRPr="00036190" w:rsidRDefault="00CE229E" w:rsidP="00281AEF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6190">
        <w:rPr>
          <w:rFonts w:ascii="Times New Roman" w:hAnsi="Times New Roman" w:cs="Times New Roman"/>
          <w:sz w:val="24"/>
          <w:szCs w:val="24"/>
          <w:lang w:val="uk-UA"/>
        </w:rPr>
        <w:t xml:space="preserve">-2023р. </w:t>
      </w:r>
      <w:r w:rsidR="00036190" w:rsidRPr="00036190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036190">
        <w:rPr>
          <w:rFonts w:ascii="Times New Roman" w:hAnsi="Times New Roman" w:cs="Times New Roman"/>
          <w:sz w:val="24"/>
          <w:szCs w:val="24"/>
          <w:lang w:val="uk-UA"/>
        </w:rPr>
        <w:t xml:space="preserve"> 38</w:t>
      </w:r>
      <w:r w:rsidR="00036190" w:rsidRPr="00036190">
        <w:rPr>
          <w:rFonts w:ascii="Times New Roman" w:hAnsi="Times New Roman" w:cs="Times New Roman"/>
          <w:sz w:val="24"/>
          <w:szCs w:val="24"/>
        </w:rPr>
        <w:t>6207.9</w:t>
      </w:r>
      <w:r w:rsidRPr="00036190">
        <w:rPr>
          <w:rFonts w:ascii="Times New Roman" w:hAnsi="Times New Roman" w:cs="Times New Roman"/>
          <w:sz w:val="24"/>
          <w:szCs w:val="24"/>
          <w:lang w:val="uk-UA"/>
        </w:rPr>
        <w:t>тис.грн.</w:t>
      </w:r>
      <w:r w:rsidR="005B4FE0">
        <w:rPr>
          <w:rFonts w:ascii="Times New Roman" w:hAnsi="Times New Roman" w:cs="Times New Roman"/>
          <w:sz w:val="24"/>
          <w:szCs w:val="24"/>
          <w:lang w:val="uk-UA"/>
        </w:rPr>
        <w:t xml:space="preserve"> (9,3%)</w:t>
      </w:r>
    </w:p>
    <w:p w:rsidR="00281AEF" w:rsidRDefault="00CE229E" w:rsidP="00036190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190">
        <w:rPr>
          <w:rFonts w:ascii="Times New Roman" w:hAnsi="Times New Roman" w:cs="Times New Roman"/>
          <w:sz w:val="24"/>
          <w:szCs w:val="24"/>
          <w:lang w:val="uk-UA"/>
        </w:rPr>
        <w:t>-2024р. – 41</w:t>
      </w:r>
      <w:r w:rsidR="00036190" w:rsidRPr="00036190">
        <w:rPr>
          <w:rFonts w:ascii="Times New Roman" w:hAnsi="Times New Roman" w:cs="Times New Roman"/>
          <w:sz w:val="24"/>
          <w:szCs w:val="24"/>
        </w:rPr>
        <w:t>8927.9</w:t>
      </w:r>
      <w:r w:rsidRPr="00036190">
        <w:rPr>
          <w:rFonts w:ascii="Times New Roman" w:hAnsi="Times New Roman" w:cs="Times New Roman"/>
          <w:sz w:val="24"/>
          <w:szCs w:val="24"/>
          <w:lang w:val="uk-UA"/>
        </w:rPr>
        <w:t>тис.грн.</w:t>
      </w:r>
      <w:r w:rsidR="00544A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4FE0">
        <w:rPr>
          <w:rFonts w:ascii="Times New Roman" w:hAnsi="Times New Roman" w:cs="Times New Roman"/>
          <w:sz w:val="24"/>
          <w:szCs w:val="24"/>
          <w:lang w:val="uk-UA"/>
        </w:rPr>
        <w:t xml:space="preserve"> (8,5%)</w:t>
      </w:r>
    </w:p>
    <w:p w:rsidR="00281AEF" w:rsidRDefault="008621DF" w:rsidP="00036190">
      <w:pPr>
        <w:tabs>
          <w:tab w:val="left" w:pos="394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="003E7B32" w:rsidRPr="005221C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E7B32">
        <w:rPr>
          <w:rFonts w:ascii="Times New Roman" w:hAnsi="Times New Roman" w:cs="Times New Roman"/>
          <w:b/>
          <w:sz w:val="28"/>
          <w:szCs w:val="28"/>
          <w:lang w:val="uk-UA"/>
        </w:rPr>
        <w:t>Показники доходів бюджету</w:t>
      </w:r>
      <w:r w:rsidR="00281AEF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9455E3" w:rsidRDefault="009455E3" w:rsidP="009455E3">
      <w:pPr>
        <w:pStyle w:val="ab"/>
        <w:ind w:right="406"/>
        <w:jc w:val="both"/>
        <w:rPr>
          <w:lang w:val="uk-UA"/>
        </w:rPr>
      </w:pPr>
      <w:r>
        <w:rPr>
          <w:lang w:val="uk-UA"/>
        </w:rPr>
        <w:t xml:space="preserve">В основу формування прогнозних обсягів доходів бюджету </w:t>
      </w:r>
      <w:r>
        <w:rPr>
          <w:spacing w:val="-5"/>
          <w:lang w:val="uk-UA"/>
        </w:rPr>
        <w:t>С</w:t>
      </w:r>
      <w:r>
        <w:rPr>
          <w:lang w:val="uk-UA"/>
        </w:rPr>
        <w:t xml:space="preserve">аф’янівської сільської територіальної  громади 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на</w:t>
      </w:r>
      <w:r>
        <w:rPr>
          <w:spacing w:val="1"/>
          <w:lang w:val="uk-UA"/>
        </w:rPr>
        <w:t xml:space="preserve"> </w:t>
      </w:r>
      <w:r>
        <w:rPr>
          <w:lang w:val="uk-UA"/>
        </w:rPr>
        <w:t>2022 -</w:t>
      </w:r>
      <w:r>
        <w:rPr>
          <w:spacing w:val="1"/>
          <w:lang w:val="uk-UA"/>
        </w:rPr>
        <w:t xml:space="preserve"> </w:t>
      </w:r>
      <w:r>
        <w:rPr>
          <w:lang w:val="uk-UA"/>
        </w:rPr>
        <w:t>2024</w:t>
      </w:r>
      <w:r>
        <w:rPr>
          <w:spacing w:val="1"/>
          <w:lang w:val="uk-UA"/>
        </w:rPr>
        <w:t xml:space="preserve"> </w:t>
      </w:r>
      <w:r>
        <w:rPr>
          <w:lang w:val="uk-UA"/>
        </w:rPr>
        <w:t>роки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покладено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вимоги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положень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Конституції</w:t>
      </w:r>
      <w:r>
        <w:rPr>
          <w:spacing w:val="1"/>
          <w:lang w:val="uk-UA"/>
        </w:rPr>
        <w:t xml:space="preserve"> </w:t>
      </w:r>
      <w:r>
        <w:rPr>
          <w:lang w:val="uk-UA"/>
        </w:rPr>
        <w:t>України,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Податкового кодексу України, Бюджетного кодексу України, інших законодавчих актів,</w:t>
      </w:r>
      <w:r>
        <w:rPr>
          <w:spacing w:val="1"/>
          <w:lang w:val="uk-UA"/>
        </w:rPr>
        <w:t xml:space="preserve"> </w:t>
      </w:r>
      <w:r>
        <w:rPr>
          <w:lang w:val="uk-UA"/>
        </w:rPr>
        <w:t>що стосуються місцевих бюджетів та міжбюджетних відносин, збудованих на принципах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децентралізації</w:t>
      </w:r>
      <w:r>
        <w:rPr>
          <w:spacing w:val="-2"/>
          <w:lang w:val="uk-UA"/>
        </w:rPr>
        <w:t xml:space="preserve"> </w:t>
      </w:r>
      <w:r>
        <w:rPr>
          <w:lang w:val="uk-UA"/>
        </w:rPr>
        <w:t>фінансів</w:t>
      </w:r>
      <w:r>
        <w:rPr>
          <w:spacing w:val="-1"/>
          <w:lang w:val="uk-UA"/>
        </w:rPr>
        <w:t xml:space="preserve"> </w:t>
      </w:r>
      <w:r>
        <w:rPr>
          <w:lang w:val="uk-UA"/>
        </w:rPr>
        <w:t>та</w:t>
      </w:r>
      <w:r>
        <w:rPr>
          <w:spacing w:val="-3"/>
          <w:lang w:val="uk-UA"/>
        </w:rPr>
        <w:t xml:space="preserve"> </w:t>
      </w:r>
      <w:r>
        <w:rPr>
          <w:lang w:val="uk-UA"/>
        </w:rPr>
        <w:t>зміцнення</w:t>
      </w:r>
      <w:r>
        <w:rPr>
          <w:spacing w:val="-1"/>
          <w:lang w:val="uk-UA"/>
        </w:rPr>
        <w:t xml:space="preserve"> </w:t>
      </w:r>
      <w:r>
        <w:rPr>
          <w:lang w:val="uk-UA"/>
        </w:rPr>
        <w:t>фінансової</w:t>
      </w:r>
      <w:r>
        <w:rPr>
          <w:spacing w:val="-2"/>
          <w:lang w:val="uk-UA"/>
        </w:rPr>
        <w:t xml:space="preserve"> </w:t>
      </w:r>
      <w:r>
        <w:rPr>
          <w:lang w:val="uk-UA"/>
        </w:rPr>
        <w:t>основи</w:t>
      </w:r>
      <w:r>
        <w:rPr>
          <w:spacing w:val="-1"/>
          <w:lang w:val="uk-UA"/>
        </w:rPr>
        <w:t xml:space="preserve"> </w:t>
      </w:r>
      <w:r>
        <w:rPr>
          <w:lang w:val="uk-UA"/>
        </w:rPr>
        <w:t>місцевого</w:t>
      </w:r>
      <w:r>
        <w:rPr>
          <w:spacing w:val="-3"/>
          <w:lang w:val="uk-UA"/>
        </w:rPr>
        <w:t xml:space="preserve"> </w:t>
      </w:r>
      <w:r>
        <w:rPr>
          <w:lang w:val="uk-UA"/>
        </w:rPr>
        <w:t>самоврядування.</w:t>
      </w:r>
    </w:p>
    <w:p w:rsidR="009455E3" w:rsidRPr="009455E3" w:rsidRDefault="009455E3" w:rsidP="009455E3">
      <w:pPr>
        <w:pStyle w:val="ab"/>
        <w:ind w:right="404"/>
        <w:jc w:val="both"/>
        <w:rPr>
          <w:lang w:val="uk-UA"/>
        </w:rPr>
      </w:pPr>
      <w:r w:rsidRPr="009455E3">
        <w:rPr>
          <w:lang w:val="uk-UA"/>
        </w:rPr>
        <w:t xml:space="preserve">На    2022    рік   </w:t>
      </w:r>
      <w:r w:rsidRPr="009455E3">
        <w:rPr>
          <w:spacing w:val="1"/>
          <w:lang w:val="uk-UA"/>
        </w:rPr>
        <w:t xml:space="preserve"> </w:t>
      </w:r>
      <w:r w:rsidRPr="009455E3">
        <w:rPr>
          <w:lang w:val="uk-UA"/>
        </w:rPr>
        <w:t>бюджет Саф'ян</w:t>
      </w:r>
      <w:r>
        <w:rPr>
          <w:lang w:val="uk-UA"/>
        </w:rPr>
        <w:t>і</w:t>
      </w:r>
      <w:r w:rsidRPr="009455E3">
        <w:rPr>
          <w:lang w:val="uk-UA"/>
        </w:rPr>
        <w:t>всько</w:t>
      </w:r>
      <w:r>
        <w:rPr>
          <w:lang w:val="uk-UA"/>
        </w:rPr>
        <w:t>ї</w:t>
      </w:r>
      <w:r w:rsidRPr="009455E3">
        <w:rPr>
          <w:lang w:val="uk-UA"/>
        </w:rPr>
        <w:t xml:space="preserve"> с</w:t>
      </w:r>
      <w:r>
        <w:rPr>
          <w:lang w:val="uk-UA"/>
        </w:rPr>
        <w:t>і</w:t>
      </w:r>
      <w:r w:rsidRPr="009455E3">
        <w:rPr>
          <w:lang w:val="uk-UA"/>
        </w:rPr>
        <w:t>льсько</w:t>
      </w:r>
      <w:r>
        <w:rPr>
          <w:lang w:val="uk-UA"/>
        </w:rPr>
        <w:t>ї</w:t>
      </w:r>
      <w:r w:rsidRPr="009455E3">
        <w:rPr>
          <w:lang w:val="uk-UA"/>
        </w:rPr>
        <w:t xml:space="preserve"> територ</w:t>
      </w:r>
      <w:r>
        <w:rPr>
          <w:lang w:val="uk-UA"/>
        </w:rPr>
        <w:t>і</w:t>
      </w:r>
      <w:r w:rsidRPr="009455E3">
        <w:rPr>
          <w:lang w:val="uk-UA"/>
        </w:rPr>
        <w:t>ально</w:t>
      </w:r>
      <w:r>
        <w:rPr>
          <w:lang w:val="uk-UA"/>
        </w:rPr>
        <w:t>ї</w:t>
      </w:r>
      <w:r w:rsidRPr="009455E3">
        <w:rPr>
          <w:lang w:val="uk-UA"/>
        </w:rPr>
        <w:t xml:space="preserve"> громади  за    доходами     прогнозується    в    обсязі </w:t>
      </w:r>
      <w:r w:rsidRPr="009455E3">
        <w:rPr>
          <w:spacing w:val="-57"/>
          <w:lang w:val="uk-UA"/>
        </w:rPr>
        <w:t xml:space="preserve">  3</w:t>
      </w:r>
      <w:r w:rsidRPr="009455E3">
        <w:rPr>
          <w:lang w:val="uk-UA"/>
        </w:rPr>
        <w:t xml:space="preserve"> 53348,1тис.грн.</w:t>
      </w:r>
      <w:r>
        <w:rPr>
          <w:lang w:val="uk-UA"/>
        </w:rPr>
        <w:t xml:space="preserve"> </w:t>
      </w:r>
      <w:r w:rsidRPr="009455E3">
        <w:rPr>
          <w:lang w:val="uk-UA"/>
        </w:rPr>
        <w:t>Доходи</w:t>
      </w:r>
      <w:r w:rsidRPr="009455E3">
        <w:rPr>
          <w:spacing w:val="96"/>
          <w:lang w:val="uk-UA"/>
        </w:rPr>
        <w:t xml:space="preserve"> </w:t>
      </w:r>
      <w:r w:rsidRPr="009455E3">
        <w:rPr>
          <w:lang w:val="uk-UA"/>
        </w:rPr>
        <w:t>загального</w:t>
      </w:r>
      <w:r w:rsidRPr="009455E3">
        <w:rPr>
          <w:spacing w:val="95"/>
          <w:lang w:val="uk-UA"/>
        </w:rPr>
        <w:t xml:space="preserve"> </w:t>
      </w:r>
      <w:r w:rsidRPr="009455E3">
        <w:rPr>
          <w:lang w:val="uk-UA"/>
        </w:rPr>
        <w:t>фонду</w:t>
      </w:r>
      <w:r>
        <w:rPr>
          <w:lang w:val="uk-UA"/>
        </w:rPr>
        <w:t xml:space="preserve"> (без урахування трансфертів)</w:t>
      </w:r>
      <w:r>
        <w:rPr>
          <w:spacing w:val="90"/>
          <w:lang w:val="uk-UA"/>
        </w:rPr>
        <w:t xml:space="preserve"> </w:t>
      </w:r>
      <w:r w:rsidRPr="009455E3">
        <w:rPr>
          <w:lang w:val="uk-UA"/>
        </w:rPr>
        <w:t xml:space="preserve">у  </w:t>
      </w:r>
      <w:r w:rsidRPr="009455E3">
        <w:rPr>
          <w:spacing w:val="34"/>
          <w:lang w:val="uk-UA"/>
        </w:rPr>
        <w:t xml:space="preserve"> </w:t>
      </w:r>
      <w:r w:rsidRPr="009455E3">
        <w:rPr>
          <w:lang w:val="uk-UA"/>
        </w:rPr>
        <w:t xml:space="preserve">сумі  </w:t>
      </w:r>
      <w:r w:rsidRPr="009455E3">
        <w:rPr>
          <w:spacing w:val="43"/>
          <w:lang w:val="uk-UA"/>
        </w:rPr>
        <w:t xml:space="preserve"> </w:t>
      </w:r>
      <w:r>
        <w:rPr>
          <w:spacing w:val="43"/>
          <w:lang w:val="uk-UA"/>
        </w:rPr>
        <w:t>132370,6тис.</w:t>
      </w:r>
      <w:r w:rsidRPr="009455E3">
        <w:rPr>
          <w:lang w:val="uk-UA"/>
        </w:rPr>
        <w:t xml:space="preserve">грн,  </w:t>
      </w:r>
      <w:r w:rsidRPr="009455E3">
        <w:rPr>
          <w:spacing w:val="37"/>
          <w:lang w:val="uk-UA"/>
        </w:rPr>
        <w:t xml:space="preserve"> </w:t>
      </w:r>
      <w:r w:rsidRPr="009455E3">
        <w:rPr>
          <w:lang w:val="uk-UA"/>
        </w:rPr>
        <w:t>що</w:t>
      </w:r>
      <w:r>
        <w:rPr>
          <w:lang w:val="uk-UA"/>
        </w:rPr>
        <w:t xml:space="preserve"> </w:t>
      </w:r>
      <w:r w:rsidRPr="009455E3">
        <w:rPr>
          <w:spacing w:val="-58"/>
          <w:lang w:val="uk-UA"/>
        </w:rPr>
        <w:t xml:space="preserve"> </w:t>
      </w:r>
      <w:r w:rsidRPr="009455E3">
        <w:rPr>
          <w:lang w:val="uk-UA"/>
        </w:rPr>
        <w:t>на</w:t>
      </w:r>
      <w:r w:rsidRPr="009455E3">
        <w:rPr>
          <w:spacing w:val="60"/>
          <w:lang w:val="uk-UA"/>
        </w:rPr>
        <w:t xml:space="preserve"> </w:t>
      </w:r>
      <w:r>
        <w:rPr>
          <w:spacing w:val="60"/>
          <w:lang w:val="uk-UA"/>
        </w:rPr>
        <w:t>7187,6тис.</w:t>
      </w:r>
      <w:r w:rsidRPr="009455E3">
        <w:rPr>
          <w:lang w:val="uk-UA"/>
        </w:rPr>
        <w:t>грн</w:t>
      </w:r>
      <w:r w:rsidRPr="009455E3">
        <w:rPr>
          <w:spacing w:val="61"/>
          <w:lang w:val="uk-UA"/>
        </w:rPr>
        <w:t xml:space="preserve"> </w:t>
      </w:r>
      <w:r w:rsidRPr="009455E3">
        <w:rPr>
          <w:lang w:val="uk-UA"/>
        </w:rPr>
        <w:t>або</w:t>
      </w:r>
      <w:r w:rsidRPr="009455E3">
        <w:rPr>
          <w:spacing w:val="60"/>
          <w:lang w:val="uk-UA"/>
        </w:rPr>
        <w:t xml:space="preserve"> </w:t>
      </w:r>
      <w:r w:rsidRPr="009455E3">
        <w:rPr>
          <w:lang w:val="uk-UA"/>
        </w:rPr>
        <w:t>на</w:t>
      </w:r>
      <w:r w:rsidRPr="009455E3">
        <w:rPr>
          <w:spacing w:val="60"/>
          <w:lang w:val="uk-UA"/>
        </w:rPr>
        <w:t xml:space="preserve"> </w:t>
      </w:r>
      <w:r>
        <w:rPr>
          <w:spacing w:val="60"/>
          <w:lang w:val="uk-UA"/>
        </w:rPr>
        <w:t>5,7</w:t>
      </w:r>
      <w:r w:rsidRPr="009455E3">
        <w:rPr>
          <w:lang w:val="uk-UA"/>
        </w:rPr>
        <w:t>%</w:t>
      </w:r>
      <w:r w:rsidRPr="009455E3">
        <w:rPr>
          <w:spacing w:val="60"/>
          <w:lang w:val="uk-UA"/>
        </w:rPr>
        <w:t xml:space="preserve"> </w:t>
      </w:r>
      <w:r w:rsidRPr="009455E3">
        <w:rPr>
          <w:lang w:val="uk-UA"/>
        </w:rPr>
        <w:t>більше,</w:t>
      </w:r>
      <w:r w:rsidRPr="009455E3">
        <w:rPr>
          <w:spacing w:val="60"/>
          <w:lang w:val="uk-UA"/>
        </w:rPr>
        <w:t xml:space="preserve"> </w:t>
      </w:r>
      <w:r w:rsidRPr="009455E3">
        <w:rPr>
          <w:lang w:val="uk-UA"/>
        </w:rPr>
        <w:t>ніж</w:t>
      </w:r>
      <w:r w:rsidRPr="009455E3">
        <w:rPr>
          <w:spacing w:val="61"/>
          <w:lang w:val="uk-UA"/>
        </w:rPr>
        <w:t xml:space="preserve"> </w:t>
      </w:r>
      <w:r w:rsidRPr="009455E3">
        <w:rPr>
          <w:lang w:val="uk-UA"/>
        </w:rPr>
        <w:t>у</w:t>
      </w:r>
      <w:r w:rsidRPr="009455E3">
        <w:rPr>
          <w:spacing w:val="60"/>
          <w:lang w:val="uk-UA"/>
        </w:rPr>
        <w:t xml:space="preserve"> </w:t>
      </w:r>
      <w:r w:rsidRPr="009455E3">
        <w:rPr>
          <w:lang w:val="uk-UA"/>
        </w:rPr>
        <w:t>2021   році,</w:t>
      </w:r>
      <w:r w:rsidRPr="009455E3">
        <w:rPr>
          <w:spacing w:val="60"/>
          <w:lang w:val="uk-UA"/>
        </w:rPr>
        <w:t xml:space="preserve"> </w:t>
      </w:r>
      <w:r w:rsidRPr="009455E3">
        <w:rPr>
          <w:lang w:val="uk-UA"/>
        </w:rPr>
        <w:t>спеціального</w:t>
      </w:r>
      <w:r w:rsidRPr="009455E3">
        <w:rPr>
          <w:spacing w:val="60"/>
          <w:lang w:val="uk-UA"/>
        </w:rPr>
        <w:t xml:space="preserve"> </w:t>
      </w:r>
      <w:r w:rsidRPr="009455E3">
        <w:rPr>
          <w:lang w:val="uk-UA"/>
        </w:rPr>
        <w:t>фонду</w:t>
      </w:r>
      <w:r w:rsidRPr="009455E3">
        <w:rPr>
          <w:spacing w:val="60"/>
          <w:lang w:val="uk-UA"/>
        </w:rPr>
        <w:t xml:space="preserve"> </w:t>
      </w:r>
      <w:r w:rsidRPr="009455E3">
        <w:rPr>
          <w:lang w:val="uk-UA"/>
        </w:rPr>
        <w:t>–</w:t>
      </w:r>
      <w:r w:rsidRPr="009455E3">
        <w:rPr>
          <w:spacing w:val="1"/>
          <w:lang w:val="uk-UA"/>
        </w:rPr>
        <w:t xml:space="preserve"> </w:t>
      </w:r>
      <w:r>
        <w:rPr>
          <w:spacing w:val="1"/>
          <w:lang w:val="uk-UA"/>
        </w:rPr>
        <w:t>6171,6тис.</w:t>
      </w:r>
      <w:r w:rsidRPr="009455E3">
        <w:rPr>
          <w:lang w:val="uk-UA"/>
        </w:rPr>
        <w:t xml:space="preserve"> грн, що на </w:t>
      </w:r>
      <w:r>
        <w:rPr>
          <w:lang w:val="uk-UA"/>
        </w:rPr>
        <w:t>349,4тис.</w:t>
      </w:r>
      <w:r>
        <w:rPr>
          <w:spacing w:val="-1"/>
          <w:lang w:val="uk-UA"/>
        </w:rPr>
        <w:t xml:space="preserve"> </w:t>
      </w:r>
      <w:r w:rsidRPr="009455E3">
        <w:rPr>
          <w:lang w:val="uk-UA"/>
        </w:rPr>
        <w:t>грн або на</w:t>
      </w:r>
      <w:r w:rsidRPr="009455E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6,0</w:t>
      </w:r>
      <w:r w:rsidRPr="009455E3">
        <w:rPr>
          <w:lang w:val="uk-UA"/>
        </w:rPr>
        <w:t xml:space="preserve"> %</w:t>
      </w:r>
      <w:r w:rsidRPr="009455E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 xml:space="preserve">більше </w:t>
      </w:r>
      <w:r w:rsidRPr="009455E3">
        <w:rPr>
          <w:lang w:val="uk-UA"/>
        </w:rPr>
        <w:t xml:space="preserve"> ніж</w:t>
      </w:r>
      <w:r w:rsidRPr="009455E3">
        <w:rPr>
          <w:spacing w:val="2"/>
          <w:lang w:val="uk-UA"/>
        </w:rPr>
        <w:t xml:space="preserve"> </w:t>
      </w:r>
      <w:r w:rsidRPr="009455E3">
        <w:rPr>
          <w:lang w:val="uk-UA"/>
        </w:rPr>
        <w:t>у</w:t>
      </w:r>
      <w:r w:rsidRPr="009455E3">
        <w:rPr>
          <w:spacing w:val="-5"/>
          <w:lang w:val="uk-UA"/>
        </w:rPr>
        <w:t xml:space="preserve"> </w:t>
      </w:r>
      <w:r w:rsidRPr="009455E3">
        <w:rPr>
          <w:lang w:val="uk-UA"/>
        </w:rPr>
        <w:t>2021</w:t>
      </w:r>
      <w:r w:rsidRPr="009455E3">
        <w:rPr>
          <w:spacing w:val="-1"/>
          <w:lang w:val="uk-UA"/>
        </w:rPr>
        <w:t xml:space="preserve"> </w:t>
      </w:r>
      <w:r w:rsidRPr="009455E3">
        <w:rPr>
          <w:lang w:val="uk-UA"/>
        </w:rPr>
        <w:t>році.</w:t>
      </w:r>
    </w:p>
    <w:p w:rsidR="009455E3" w:rsidRDefault="009455E3" w:rsidP="009455E3">
      <w:pPr>
        <w:pStyle w:val="ab"/>
        <w:ind w:right="411"/>
        <w:jc w:val="both"/>
      </w:pPr>
      <w:r>
        <w:t xml:space="preserve">На    2023    рік   </w:t>
      </w:r>
      <w:r>
        <w:rPr>
          <w:spacing w:val="1"/>
        </w:rPr>
        <w:t xml:space="preserve"> </w:t>
      </w:r>
      <w:r>
        <w:t xml:space="preserve">   бюджет  Саф'ян</w:t>
      </w:r>
      <w:r>
        <w:rPr>
          <w:lang w:val="uk-UA"/>
        </w:rPr>
        <w:t>і</w:t>
      </w:r>
      <w:r>
        <w:t>всько</w:t>
      </w:r>
      <w:r>
        <w:rPr>
          <w:lang w:val="uk-UA"/>
        </w:rPr>
        <w:t>ї</w:t>
      </w:r>
      <w:r>
        <w:t xml:space="preserve"> с</w:t>
      </w:r>
      <w:r>
        <w:rPr>
          <w:lang w:val="uk-UA"/>
        </w:rPr>
        <w:t>і</w:t>
      </w:r>
      <w:r>
        <w:t>льсько</w:t>
      </w:r>
      <w:r>
        <w:rPr>
          <w:lang w:val="uk-UA"/>
        </w:rPr>
        <w:t>ї</w:t>
      </w:r>
      <w:r>
        <w:t xml:space="preserve"> територ</w:t>
      </w:r>
      <w:r>
        <w:rPr>
          <w:lang w:val="uk-UA"/>
        </w:rPr>
        <w:t>і</w:t>
      </w:r>
      <w:r>
        <w:t>ально</w:t>
      </w:r>
      <w:r>
        <w:rPr>
          <w:lang w:val="uk-UA"/>
        </w:rPr>
        <w:t>ї</w:t>
      </w:r>
      <w:r>
        <w:t xml:space="preserve"> громади     за    доходами     прогнозується    в    обсязі</w:t>
      </w:r>
      <w:r>
        <w:rPr>
          <w:lang w:val="uk-UA"/>
        </w:rPr>
        <w:t xml:space="preserve">  386207,9тис.грн.,</w:t>
      </w:r>
      <w:r>
        <w:t xml:space="preserve"> що на</w:t>
      </w:r>
      <w:r>
        <w:rPr>
          <w:spacing w:val="-1"/>
        </w:rPr>
        <w:t xml:space="preserve"> </w:t>
      </w:r>
      <w:r>
        <w:rPr>
          <w:spacing w:val="-1"/>
          <w:lang w:val="uk-UA"/>
        </w:rPr>
        <w:t>32859,8тис.</w:t>
      </w:r>
      <w:r>
        <w:t xml:space="preserve"> грн</w:t>
      </w:r>
      <w:r>
        <w:rPr>
          <w:lang w:val="uk-UA"/>
        </w:rPr>
        <w:t>.,</w:t>
      </w:r>
      <w:r>
        <w:t xml:space="preserve"> або на</w:t>
      </w:r>
      <w:r>
        <w:rPr>
          <w:spacing w:val="-1"/>
        </w:rPr>
        <w:t xml:space="preserve"> </w:t>
      </w:r>
      <w:r>
        <w:rPr>
          <w:spacing w:val="-1"/>
          <w:lang w:val="uk-UA"/>
        </w:rPr>
        <w:t>9,3</w:t>
      </w:r>
      <w:r>
        <w:t xml:space="preserve"> %</w:t>
      </w:r>
      <w:r>
        <w:rPr>
          <w:spacing w:val="-1"/>
        </w:rPr>
        <w:t xml:space="preserve"> </w:t>
      </w:r>
      <w:r>
        <w:t>більше, ніж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2022 році.</w:t>
      </w:r>
    </w:p>
    <w:p w:rsidR="009455E3" w:rsidRDefault="009455E3" w:rsidP="009455E3">
      <w:pPr>
        <w:pStyle w:val="ab"/>
        <w:ind w:right="403"/>
        <w:jc w:val="both"/>
      </w:pPr>
      <w:r>
        <w:t>Доходи</w:t>
      </w:r>
      <w:r>
        <w:rPr>
          <w:spacing w:val="96"/>
        </w:rPr>
        <w:t xml:space="preserve"> </w:t>
      </w:r>
      <w:r>
        <w:t>загального</w:t>
      </w:r>
      <w:r>
        <w:rPr>
          <w:spacing w:val="95"/>
        </w:rPr>
        <w:t xml:space="preserve"> </w:t>
      </w:r>
      <w:r>
        <w:t>фонду</w:t>
      </w:r>
      <w:r>
        <w:rPr>
          <w:lang w:val="uk-UA"/>
        </w:rPr>
        <w:t xml:space="preserve"> (без трансфертів) </w:t>
      </w:r>
      <w:r>
        <w:t xml:space="preserve">затверджені  </w:t>
      </w:r>
      <w:r>
        <w:rPr>
          <w:spacing w:val="40"/>
        </w:rPr>
        <w:t xml:space="preserve"> </w:t>
      </w:r>
      <w:r>
        <w:t xml:space="preserve">у  </w:t>
      </w:r>
      <w:r>
        <w:rPr>
          <w:spacing w:val="34"/>
        </w:rPr>
        <w:t xml:space="preserve"> </w:t>
      </w:r>
      <w:r>
        <w:t xml:space="preserve">сумі  </w:t>
      </w:r>
      <w:r>
        <w:rPr>
          <w:spacing w:val="43"/>
        </w:rPr>
        <w:t xml:space="preserve"> </w:t>
      </w:r>
      <w:r>
        <w:rPr>
          <w:spacing w:val="43"/>
          <w:lang w:val="uk-UA"/>
        </w:rPr>
        <w:t>138304,5тис.</w:t>
      </w:r>
      <w:r>
        <w:t xml:space="preserve">грн,  </w:t>
      </w:r>
      <w:r>
        <w:rPr>
          <w:spacing w:val="37"/>
        </w:rPr>
        <w:t xml:space="preserve"> </w:t>
      </w:r>
      <w:r>
        <w:t>що</w:t>
      </w:r>
      <w:r>
        <w:rPr>
          <w:lang w:val="uk-UA"/>
        </w:rPr>
        <w:t xml:space="preserve"> </w:t>
      </w:r>
      <w:r>
        <w:rPr>
          <w:spacing w:val="-58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rPr>
          <w:spacing w:val="60"/>
          <w:lang w:val="uk-UA"/>
        </w:rPr>
        <w:t>5933,9тис.</w:t>
      </w:r>
      <w:r>
        <w:t>грн</w:t>
      </w:r>
      <w:r>
        <w:rPr>
          <w:spacing w:val="61"/>
        </w:rPr>
        <w:t xml:space="preserve"> </w:t>
      </w:r>
      <w:r>
        <w:t>або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rPr>
          <w:spacing w:val="60"/>
          <w:lang w:val="uk-UA"/>
        </w:rPr>
        <w:t>4,5</w:t>
      </w:r>
      <w:r>
        <w:t>%</w:t>
      </w:r>
      <w:r>
        <w:rPr>
          <w:spacing w:val="60"/>
        </w:rPr>
        <w:t xml:space="preserve"> </w:t>
      </w:r>
      <w:r>
        <w:t>більше,</w:t>
      </w:r>
      <w:r>
        <w:rPr>
          <w:spacing w:val="60"/>
        </w:rPr>
        <w:t xml:space="preserve"> </w:t>
      </w:r>
      <w:r>
        <w:t>ніж</w:t>
      </w:r>
      <w:r>
        <w:rPr>
          <w:spacing w:val="61"/>
        </w:rPr>
        <w:t xml:space="preserve"> </w:t>
      </w:r>
      <w:r>
        <w:t>у</w:t>
      </w:r>
      <w:r>
        <w:rPr>
          <w:spacing w:val="60"/>
        </w:rPr>
        <w:t xml:space="preserve"> </w:t>
      </w:r>
      <w:r>
        <w:t>2022   році,</w:t>
      </w:r>
      <w:r>
        <w:rPr>
          <w:spacing w:val="60"/>
        </w:rPr>
        <w:t xml:space="preserve"> </w:t>
      </w:r>
      <w:r>
        <w:t>спеціального</w:t>
      </w:r>
      <w:r>
        <w:rPr>
          <w:spacing w:val="60"/>
        </w:rPr>
        <w:t xml:space="preserve"> </w:t>
      </w:r>
      <w:r>
        <w:t>фонду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1"/>
          <w:lang w:val="uk-UA"/>
        </w:rPr>
        <w:t>6537,1тис.</w:t>
      </w:r>
      <w:r>
        <w:t xml:space="preserve">грн, що на </w:t>
      </w:r>
      <w:r>
        <w:rPr>
          <w:lang w:val="uk-UA"/>
        </w:rPr>
        <w:t>365,5тис.</w:t>
      </w:r>
      <w:r>
        <w:t xml:space="preserve"> грн</w:t>
      </w:r>
      <w:r>
        <w:rPr>
          <w:spacing w:val="-1"/>
        </w:rPr>
        <w:t xml:space="preserve"> </w:t>
      </w:r>
      <w:r>
        <w:t>або на</w:t>
      </w:r>
      <w:r>
        <w:rPr>
          <w:spacing w:val="-1"/>
        </w:rPr>
        <w:t xml:space="preserve"> </w:t>
      </w:r>
      <w:r>
        <w:t>5,</w:t>
      </w:r>
      <w:r>
        <w:rPr>
          <w:lang w:val="uk-UA"/>
        </w:rPr>
        <w:t>9</w:t>
      </w:r>
      <w:r>
        <w:t xml:space="preserve"> %</w:t>
      </w:r>
      <w:r>
        <w:rPr>
          <w:spacing w:val="-1"/>
        </w:rPr>
        <w:t xml:space="preserve"> </w:t>
      </w:r>
      <w:r>
        <w:t>більше, ніж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2022</w:t>
      </w:r>
      <w:r>
        <w:rPr>
          <w:spacing w:val="2"/>
        </w:rPr>
        <w:t xml:space="preserve"> </w:t>
      </w:r>
      <w:r>
        <w:t>році.</w:t>
      </w:r>
    </w:p>
    <w:p w:rsidR="009455E3" w:rsidRDefault="009455E3" w:rsidP="009455E3">
      <w:pPr>
        <w:pStyle w:val="ab"/>
        <w:ind w:right="411"/>
        <w:jc w:val="both"/>
      </w:pPr>
      <w:r>
        <w:t>На    202</w:t>
      </w:r>
      <w:r>
        <w:rPr>
          <w:lang w:val="uk-UA"/>
        </w:rPr>
        <w:t>4</w:t>
      </w:r>
      <w:r>
        <w:t xml:space="preserve">    рік   </w:t>
      </w:r>
      <w:r>
        <w:rPr>
          <w:spacing w:val="1"/>
        </w:rPr>
        <w:t xml:space="preserve"> </w:t>
      </w:r>
      <w:r>
        <w:t xml:space="preserve">   бюджет  Саф'ян</w:t>
      </w:r>
      <w:r>
        <w:rPr>
          <w:lang w:val="uk-UA"/>
        </w:rPr>
        <w:t>і</w:t>
      </w:r>
      <w:r>
        <w:t>всько</w:t>
      </w:r>
      <w:r>
        <w:rPr>
          <w:lang w:val="uk-UA"/>
        </w:rPr>
        <w:t>ї</w:t>
      </w:r>
      <w:r>
        <w:t xml:space="preserve"> с</w:t>
      </w:r>
      <w:r>
        <w:rPr>
          <w:lang w:val="uk-UA"/>
        </w:rPr>
        <w:t>і</w:t>
      </w:r>
      <w:r>
        <w:t>льсько</w:t>
      </w:r>
      <w:r>
        <w:rPr>
          <w:lang w:val="uk-UA"/>
        </w:rPr>
        <w:t>ї</w:t>
      </w:r>
      <w:r>
        <w:t xml:space="preserve"> територ</w:t>
      </w:r>
      <w:r>
        <w:rPr>
          <w:lang w:val="uk-UA"/>
        </w:rPr>
        <w:t>і</w:t>
      </w:r>
      <w:r>
        <w:t>ально</w:t>
      </w:r>
      <w:r>
        <w:rPr>
          <w:lang w:val="uk-UA"/>
        </w:rPr>
        <w:t>ї</w:t>
      </w:r>
      <w:r>
        <w:t xml:space="preserve"> громади     за    доходами     прогнозується    в    обсязі</w:t>
      </w:r>
      <w:r>
        <w:rPr>
          <w:lang w:val="uk-UA"/>
        </w:rPr>
        <w:t xml:space="preserve">  418927,9тис.грн.,</w:t>
      </w:r>
      <w:r>
        <w:t xml:space="preserve"> що на</w:t>
      </w:r>
      <w:r>
        <w:rPr>
          <w:spacing w:val="-1"/>
        </w:rPr>
        <w:t xml:space="preserve"> </w:t>
      </w:r>
      <w:r>
        <w:rPr>
          <w:spacing w:val="-1"/>
          <w:lang w:val="uk-UA"/>
        </w:rPr>
        <w:t>32720,0тис.</w:t>
      </w:r>
      <w:r>
        <w:t xml:space="preserve"> грн</w:t>
      </w:r>
      <w:r>
        <w:rPr>
          <w:lang w:val="uk-UA"/>
        </w:rPr>
        <w:t>.,</w:t>
      </w:r>
      <w:r>
        <w:t xml:space="preserve"> або на</w:t>
      </w:r>
      <w:r>
        <w:rPr>
          <w:spacing w:val="-1"/>
        </w:rPr>
        <w:t xml:space="preserve"> </w:t>
      </w:r>
      <w:r>
        <w:rPr>
          <w:spacing w:val="-1"/>
          <w:lang w:val="uk-UA"/>
        </w:rPr>
        <w:t>8,5</w:t>
      </w:r>
      <w:r>
        <w:t xml:space="preserve"> %</w:t>
      </w:r>
      <w:r>
        <w:rPr>
          <w:spacing w:val="-1"/>
        </w:rPr>
        <w:t xml:space="preserve"> </w:t>
      </w:r>
      <w:r>
        <w:t>більше, ніж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202</w:t>
      </w:r>
      <w:r>
        <w:rPr>
          <w:lang w:val="uk-UA"/>
        </w:rPr>
        <w:t>3</w:t>
      </w:r>
      <w:r>
        <w:t xml:space="preserve"> році.</w:t>
      </w:r>
    </w:p>
    <w:p w:rsidR="009455E3" w:rsidRDefault="009455E3" w:rsidP="009455E3">
      <w:pPr>
        <w:pStyle w:val="ab"/>
        <w:ind w:right="403"/>
        <w:jc w:val="both"/>
      </w:pPr>
      <w:r>
        <w:t>Доходи</w:t>
      </w:r>
      <w:r>
        <w:rPr>
          <w:spacing w:val="96"/>
        </w:rPr>
        <w:t xml:space="preserve"> </w:t>
      </w:r>
      <w:r>
        <w:t>загального</w:t>
      </w:r>
      <w:r>
        <w:rPr>
          <w:spacing w:val="95"/>
        </w:rPr>
        <w:t xml:space="preserve"> </w:t>
      </w:r>
      <w:r>
        <w:t>фонду</w:t>
      </w:r>
      <w:r>
        <w:rPr>
          <w:lang w:val="uk-UA"/>
        </w:rPr>
        <w:t xml:space="preserve"> (без трансфертів) </w:t>
      </w:r>
      <w:r>
        <w:t xml:space="preserve">затверджені  </w:t>
      </w:r>
      <w:r>
        <w:rPr>
          <w:spacing w:val="40"/>
        </w:rPr>
        <w:t xml:space="preserve"> </w:t>
      </w:r>
      <w:r>
        <w:t xml:space="preserve">у  </w:t>
      </w:r>
      <w:r>
        <w:rPr>
          <w:spacing w:val="34"/>
        </w:rPr>
        <w:t xml:space="preserve"> </w:t>
      </w:r>
      <w:r>
        <w:t xml:space="preserve">сумі  </w:t>
      </w:r>
      <w:r>
        <w:rPr>
          <w:spacing w:val="43"/>
        </w:rPr>
        <w:t xml:space="preserve"> </w:t>
      </w:r>
      <w:r>
        <w:rPr>
          <w:spacing w:val="43"/>
          <w:lang w:val="uk-UA"/>
        </w:rPr>
        <w:t>144542,4тис.</w:t>
      </w:r>
      <w:r>
        <w:t xml:space="preserve">грн,  </w:t>
      </w:r>
      <w:r>
        <w:rPr>
          <w:spacing w:val="37"/>
        </w:rPr>
        <w:t xml:space="preserve"> </w:t>
      </w:r>
      <w:r>
        <w:t>що</w:t>
      </w:r>
      <w:r>
        <w:rPr>
          <w:lang w:val="uk-UA"/>
        </w:rPr>
        <w:t xml:space="preserve"> </w:t>
      </w:r>
      <w:r>
        <w:rPr>
          <w:spacing w:val="-58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rPr>
          <w:spacing w:val="60"/>
          <w:lang w:val="uk-UA"/>
        </w:rPr>
        <w:t>6237,9тис.</w:t>
      </w:r>
      <w:r>
        <w:t>грн</w:t>
      </w:r>
      <w:r>
        <w:rPr>
          <w:spacing w:val="61"/>
        </w:rPr>
        <w:t xml:space="preserve"> </w:t>
      </w:r>
      <w:r>
        <w:t>або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rPr>
          <w:spacing w:val="60"/>
          <w:lang w:val="uk-UA"/>
        </w:rPr>
        <w:t>4,5</w:t>
      </w:r>
      <w:r>
        <w:t>%</w:t>
      </w:r>
      <w:r>
        <w:rPr>
          <w:spacing w:val="60"/>
        </w:rPr>
        <w:t xml:space="preserve"> </w:t>
      </w:r>
      <w:r>
        <w:t>більше,</w:t>
      </w:r>
      <w:r>
        <w:rPr>
          <w:spacing w:val="60"/>
        </w:rPr>
        <w:t xml:space="preserve"> </w:t>
      </w:r>
      <w:r>
        <w:t>ніж</w:t>
      </w:r>
      <w:r>
        <w:rPr>
          <w:spacing w:val="61"/>
        </w:rPr>
        <w:t xml:space="preserve"> </w:t>
      </w:r>
      <w:r>
        <w:t>у</w:t>
      </w:r>
      <w:r>
        <w:rPr>
          <w:spacing w:val="60"/>
        </w:rPr>
        <w:t xml:space="preserve"> </w:t>
      </w:r>
      <w:r>
        <w:t>202</w:t>
      </w:r>
      <w:r>
        <w:rPr>
          <w:lang w:val="uk-UA"/>
        </w:rPr>
        <w:t>3</w:t>
      </w:r>
      <w:r>
        <w:t xml:space="preserve">   році,</w:t>
      </w:r>
      <w:r>
        <w:rPr>
          <w:spacing w:val="60"/>
        </w:rPr>
        <w:t xml:space="preserve"> </w:t>
      </w:r>
      <w:r>
        <w:t>спеціального</w:t>
      </w:r>
      <w:r>
        <w:rPr>
          <w:spacing w:val="60"/>
        </w:rPr>
        <w:t xml:space="preserve"> </w:t>
      </w:r>
      <w:r>
        <w:t>фонду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1"/>
          <w:lang w:val="uk-UA"/>
        </w:rPr>
        <w:t>6922,7тис.</w:t>
      </w:r>
      <w:r>
        <w:t xml:space="preserve">грн, що на </w:t>
      </w:r>
      <w:r>
        <w:rPr>
          <w:lang w:val="uk-UA"/>
        </w:rPr>
        <w:t>385,6тис.</w:t>
      </w:r>
      <w:r>
        <w:t xml:space="preserve"> грн</w:t>
      </w:r>
      <w:r>
        <w:rPr>
          <w:spacing w:val="-1"/>
        </w:rPr>
        <w:t xml:space="preserve"> </w:t>
      </w:r>
      <w:r>
        <w:t>або на</w:t>
      </w:r>
      <w:r>
        <w:rPr>
          <w:spacing w:val="-1"/>
        </w:rPr>
        <w:t xml:space="preserve"> </w:t>
      </w:r>
      <w:r>
        <w:t>5,</w:t>
      </w:r>
      <w:r>
        <w:rPr>
          <w:lang w:val="uk-UA"/>
        </w:rPr>
        <w:t>9</w:t>
      </w:r>
      <w:r>
        <w:t xml:space="preserve"> %</w:t>
      </w:r>
      <w:r>
        <w:rPr>
          <w:spacing w:val="-1"/>
        </w:rPr>
        <w:t xml:space="preserve"> </w:t>
      </w:r>
      <w:r>
        <w:t>більше, ніж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2022</w:t>
      </w:r>
      <w:r>
        <w:rPr>
          <w:spacing w:val="2"/>
        </w:rPr>
        <w:t xml:space="preserve"> </w:t>
      </w:r>
      <w:r>
        <w:t>році.</w:t>
      </w:r>
    </w:p>
    <w:p w:rsidR="009455E3" w:rsidRDefault="009455E3" w:rsidP="009455E3">
      <w:pPr>
        <w:pStyle w:val="ab"/>
        <w:ind w:right="40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Динамика зростання доходів загального фонду бюджету</w:t>
      </w:r>
    </w:p>
    <w:p w:rsidR="009455E3" w:rsidRDefault="009455E3" w:rsidP="009455E3">
      <w:pPr>
        <w:pStyle w:val="ab"/>
        <w:ind w:right="403"/>
        <w:jc w:val="both"/>
      </w:pPr>
    </w:p>
    <w:p w:rsidR="009455E3" w:rsidRDefault="009455E3" w:rsidP="009455E3">
      <w:pPr>
        <w:pStyle w:val="ab"/>
        <w:ind w:right="403"/>
        <w:jc w:val="both"/>
      </w:pPr>
      <w:r>
        <w:rPr>
          <w:noProof/>
        </w:rPr>
        <w:drawing>
          <wp:inline distT="0" distB="0" distL="0" distR="0">
            <wp:extent cx="5940425" cy="2913380"/>
            <wp:effectExtent l="0" t="0" r="3175" b="127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455E3" w:rsidRDefault="009455E3" w:rsidP="009455E3">
      <w:pPr>
        <w:pStyle w:val="ab"/>
        <w:ind w:right="403"/>
        <w:jc w:val="both"/>
        <w:rPr>
          <w:b/>
          <w:sz w:val="28"/>
          <w:szCs w:val="28"/>
          <w:u w:val="single"/>
          <w:lang w:val="uk-UA"/>
        </w:rPr>
      </w:pPr>
    </w:p>
    <w:p w:rsidR="009455E3" w:rsidRDefault="009455E3" w:rsidP="009455E3">
      <w:pPr>
        <w:pStyle w:val="ab"/>
        <w:ind w:right="403"/>
        <w:jc w:val="both"/>
        <w:rPr>
          <w:lang w:val="uk-UA"/>
        </w:rPr>
      </w:pPr>
      <w:r>
        <w:rPr>
          <w:b/>
          <w:sz w:val="28"/>
          <w:szCs w:val="28"/>
          <w:u w:val="single"/>
          <w:lang w:val="uk-UA"/>
        </w:rPr>
        <w:t>Податкові надходження</w:t>
      </w:r>
    </w:p>
    <w:p w:rsidR="009455E3" w:rsidRDefault="009455E3" w:rsidP="009455E3">
      <w:pPr>
        <w:pStyle w:val="ab"/>
        <w:spacing w:before="1"/>
        <w:ind w:right="408"/>
        <w:jc w:val="both"/>
        <w:rPr>
          <w:lang w:val="uk-UA"/>
        </w:rPr>
      </w:pPr>
      <w:r>
        <w:rPr>
          <w:b/>
          <w:sz w:val="28"/>
          <w:szCs w:val="28"/>
          <w:u w:val="single"/>
          <w:lang w:val="uk-UA"/>
        </w:rPr>
        <w:t>Основним</w:t>
      </w:r>
      <w:r>
        <w:rPr>
          <w:b/>
          <w:spacing w:val="1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бюджетоформуючим</w:t>
      </w:r>
      <w:r>
        <w:rPr>
          <w:b/>
          <w:spacing w:val="1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джерелом</w:t>
      </w:r>
      <w:r>
        <w:rPr>
          <w:b/>
          <w:spacing w:val="1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надходжень</w:t>
      </w:r>
      <w:r>
        <w:rPr>
          <w:b/>
          <w:spacing w:val="1"/>
          <w:sz w:val="28"/>
          <w:szCs w:val="28"/>
          <w:u w:val="single"/>
          <w:lang w:val="uk-UA"/>
        </w:rPr>
        <w:t xml:space="preserve">  </w:t>
      </w:r>
      <w:r>
        <w:rPr>
          <w:b/>
          <w:sz w:val="28"/>
          <w:szCs w:val="28"/>
          <w:u w:val="single"/>
          <w:lang w:val="uk-UA"/>
        </w:rPr>
        <w:t>бюджету</w:t>
      </w:r>
      <w:r>
        <w:rPr>
          <w:b/>
          <w:spacing w:val="1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Саф'янівської сільської територіальної громади є </w:t>
      </w:r>
      <w:r>
        <w:rPr>
          <w:b/>
          <w:spacing w:val="-57"/>
          <w:sz w:val="28"/>
          <w:szCs w:val="28"/>
          <w:u w:val="single"/>
          <w:lang w:val="uk-UA"/>
        </w:rPr>
        <w:t xml:space="preserve">       </w:t>
      </w:r>
      <w:r>
        <w:rPr>
          <w:b/>
          <w:sz w:val="28"/>
          <w:szCs w:val="28"/>
          <w:u w:val="single"/>
          <w:lang w:val="uk-UA"/>
        </w:rPr>
        <w:t>податок</w:t>
      </w:r>
      <w:r>
        <w:rPr>
          <w:b/>
          <w:spacing w:val="33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на</w:t>
      </w:r>
      <w:r>
        <w:rPr>
          <w:b/>
          <w:spacing w:val="31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доходи</w:t>
      </w:r>
      <w:r>
        <w:rPr>
          <w:b/>
          <w:spacing w:val="33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фізичних</w:t>
      </w:r>
      <w:r>
        <w:rPr>
          <w:b/>
          <w:spacing w:val="93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осіб</w:t>
      </w:r>
      <w:r>
        <w:rPr>
          <w:b/>
          <w:spacing w:val="92"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(ПДФО</w:t>
      </w:r>
      <w:r>
        <w:rPr>
          <w:b/>
          <w:u w:val="single"/>
          <w:lang w:val="uk-UA"/>
        </w:rPr>
        <w:t>)</w:t>
      </w:r>
      <w:r>
        <w:rPr>
          <w:lang w:val="uk-UA"/>
        </w:rPr>
        <w:t>,</w:t>
      </w:r>
      <w:r>
        <w:rPr>
          <w:spacing w:val="92"/>
          <w:lang w:val="uk-UA"/>
        </w:rPr>
        <w:t xml:space="preserve"> </w:t>
      </w:r>
      <w:r>
        <w:rPr>
          <w:lang w:val="uk-UA"/>
        </w:rPr>
        <w:t>питома</w:t>
      </w:r>
      <w:r>
        <w:rPr>
          <w:spacing w:val="90"/>
          <w:lang w:val="uk-UA"/>
        </w:rPr>
        <w:t xml:space="preserve"> </w:t>
      </w:r>
      <w:r>
        <w:rPr>
          <w:lang w:val="uk-UA"/>
        </w:rPr>
        <w:t>вага</w:t>
      </w:r>
      <w:r>
        <w:rPr>
          <w:spacing w:val="97"/>
          <w:lang w:val="uk-UA"/>
        </w:rPr>
        <w:t xml:space="preserve"> </w:t>
      </w:r>
      <w:r>
        <w:rPr>
          <w:lang w:val="uk-UA"/>
        </w:rPr>
        <w:t>якого</w:t>
      </w:r>
      <w:r>
        <w:rPr>
          <w:spacing w:val="93"/>
          <w:lang w:val="uk-UA"/>
        </w:rPr>
        <w:t xml:space="preserve"> </w:t>
      </w:r>
      <w:r>
        <w:rPr>
          <w:lang w:val="uk-UA"/>
        </w:rPr>
        <w:t>в</w:t>
      </w:r>
      <w:r>
        <w:rPr>
          <w:spacing w:val="90"/>
          <w:lang w:val="uk-UA"/>
        </w:rPr>
        <w:t xml:space="preserve"> </w:t>
      </w:r>
      <w:r>
        <w:rPr>
          <w:lang w:val="uk-UA"/>
        </w:rPr>
        <w:t>загальному</w:t>
      </w:r>
      <w:r>
        <w:rPr>
          <w:spacing w:val="86"/>
          <w:lang w:val="uk-UA"/>
        </w:rPr>
        <w:t xml:space="preserve"> фонді бюджету складає більш ніж 39%.</w:t>
      </w:r>
    </w:p>
    <w:p w:rsidR="009455E3" w:rsidRDefault="009455E3" w:rsidP="009455E3">
      <w:pPr>
        <w:pStyle w:val="ab"/>
        <w:ind w:right="404"/>
        <w:jc w:val="both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кодексу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основним</w:t>
      </w:r>
      <w:r>
        <w:rPr>
          <w:spacing w:val="1"/>
        </w:rPr>
        <w:t xml:space="preserve"> </w:t>
      </w:r>
      <w:r>
        <w:t>показником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розрахунку прогнозних надходжень податку на доходи фізичних осіб є показник витрат на</w:t>
      </w:r>
      <w:r>
        <w:rPr>
          <w:lang w:val="uk-UA"/>
        </w:rPr>
        <w:t xml:space="preserve"> </w:t>
      </w:r>
      <w:r>
        <w:rPr>
          <w:spacing w:val="-57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праці (ВОП), який включає:</w:t>
      </w:r>
    </w:p>
    <w:p w:rsidR="009455E3" w:rsidRDefault="009455E3" w:rsidP="009455E3">
      <w:pPr>
        <w:pStyle w:val="a3"/>
        <w:widowControl w:val="0"/>
        <w:numPr>
          <w:ilvl w:val="0"/>
          <w:numId w:val="3"/>
        </w:numPr>
        <w:tabs>
          <w:tab w:val="left" w:pos="1259"/>
        </w:tabs>
        <w:autoSpaceDE w:val="0"/>
        <w:autoSpaceDN w:val="0"/>
        <w:spacing w:after="0" w:line="240" w:lineRule="auto"/>
        <w:ind w:right="411" w:firstLine="719"/>
        <w:contextualSpacing w:val="0"/>
        <w:jc w:val="both"/>
        <w:rPr>
          <w:sz w:val="24"/>
        </w:rPr>
      </w:pP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оплати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праці</w:t>
      </w:r>
      <w:r>
        <w:rPr>
          <w:spacing w:val="1"/>
          <w:sz w:val="24"/>
        </w:rPr>
        <w:t xml:space="preserve"> </w:t>
      </w:r>
      <w:r>
        <w:rPr>
          <w:sz w:val="24"/>
        </w:rPr>
        <w:t>найманих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працівників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грошового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військовослужбовців</w:t>
      </w:r>
      <w:r>
        <w:rPr>
          <w:spacing w:val="-1"/>
          <w:sz w:val="24"/>
        </w:rPr>
        <w:t xml:space="preserve"> </w:t>
      </w:r>
      <w:r>
        <w:rPr>
          <w:sz w:val="24"/>
        </w:rPr>
        <w:t>(ФОП);</w:t>
      </w:r>
    </w:p>
    <w:p w:rsidR="009455E3" w:rsidRDefault="009455E3" w:rsidP="009455E3">
      <w:pPr>
        <w:pStyle w:val="a3"/>
        <w:widowControl w:val="0"/>
        <w:numPr>
          <w:ilvl w:val="0"/>
          <w:numId w:val="3"/>
        </w:numPr>
        <w:tabs>
          <w:tab w:val="left" w:pos="1125"/>
        </w:tabs>
        <w:autoSpaceDE w:val="0"/>
        <w:autoSpaceDN w:val="0"/>
        <w:spacing w:after="0" w:line="240" w:lineRule="auto"/>
        <w:ind w:right="412" w:firstLine="719"/>
        <w:contextualSpacing w:val="0"/>
        <w:jc w:val="both"/>
        <w:rPr>
          <w:sz w:val="24"/>
        </w:rPr>
      </w:pPr>
      <w:r>
        <w:rPr>
          <w:sz w:val="24"/>
        </w:rPr>
        <w:t>допомогу по тимчасовій непрацездатності, що виплачується за рахунок фондів</w:t>
      </w:r>
      <w:r>
        <w:rPr>
          <w:spacing w:val="1"/>
          <w:sz w:val="24"/>
        </w:rPr>
        <w:t xml:space="preserve"> </w:t>
      </w:r>
      <w:r>
        <w:rPr>
          <w:sz w:val="24"/>
        </w:rPr>
        <w:t>загальнообов'язкового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державного соціального страхування;</w:t>
      </w:r>
    </w:p>
    <w:p w:rsidR="009455E3" w:rsidRDefault="009455E3" w:rsidP="009455E3">
      <w:pPr>
        <w:pStyle w:val="a3"/>
        <w:widowControl w:val="0"/>
        <w:numPr>
          <w:ilvl w:val="0"/>
          <w:numId w:val="3"/>
        </w:numPr>
        <w:tabs>
          <w:tab w:val="left" w:pos="1082"/>
        </w:tabs>
        <w:autoSpaceDE w:val="0"/>
        <w:autoSpaceDN w:val="0"/>
        <w:spacing w:after="0" w:line="240" w:lineRule="auto"/>
        <w:ind w:left="1081" w:hanging="141"/>
        <w:contextualSpacing w:val="0"/>
        <w:jc w:val="both"/>
        <w:rPr>
          <w:sz w:val="24"/>
        </w:rPr>
      </w:pPr>
      <w:r>
        <w:rPr>
          <w:sz w:val="24"/>
        </w:rPr>
        <w:t>винагороду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цивільно-правовими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договорами.</w:t>
      </w:r>
    </w:p>
    <w:p w:rsidR="009455E3" w:rsidRDefault="009455E3" w:rsidP="009455E3">
      <w:pPr>
        <w:pStyle w:val="ab"/>
        <w:ind w:right="405"/>
        <w:jc w:val="both"/>
        <w:rPr>
          <w:lang w:val="uk-UA"/>
        </w:rPr>
      </w:pPr>
      <w:r>
        <w:rPr>
          <w:lang w:val="uk-UA"/>
        </w:rPr>
        <w:t>Розрахунок прогнозу надходжень податку на доходи фізичних осіб розрахований з</w:t>
      </w:r>
      <w:r>
        <w:rPr>
          <w:spacing w:val="1"/>
          <w:lang w:val="uk-UA"/>
        </w:rPr>
        <w:t xml:space="preserve"> </w:t>
      </w:r>
      <w:r>
        <w:rPr>
          <w:lang w:val="uk-UA"/>
        </w:rPr>
        <w:t xml:space="preserve">урахуванням прогнозного обсягу фонду оплати праці, рівня середньої заробітної плати, а </w:t>
      </w:r>
      <w:r>
        <w:rPr>
          <w:spacing w:val="1"/>
          <w:lang w:val="uk-UA"/>
        </w:rPr>
        <w:t xml:space="preserve"> також </w:t>
      </w:r>
      <w:r>
        <w:rPr>
          <w:lang w:val="uk-UA"/>
        </w:rPr>
        <w:t>бази</w:t>
      </w:r>
      <w:r>
        <w:rPr>
          <w:spacing w:val="1"/>
          <w:lang w:val="uk-UA"/>
        </w:rPr>
        <w:t xml:space="preserve"> </w:t>
      </w:r>
      <w:r>
        <w:rPr>
          <w:lang w:val="uk-UA"/>
        </w:rPr>
        <w:t>та</w:t>
      </w:r>
      <w:r>
        <w:rPr>
          <w:spacing w:val="1"/>
          <w:lang w:val="uk-UA"/>
        </w:rPr>
        <w:t xml:space="preserve"> </w:t>
      </w:r>
      <w:r>
        <w:rPr>
          <w:lang w:val="uk-UA"/>
        </w:rPr>
        <w:t>ставок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оподаткування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доходів</w:t>
      </w:r>
      <w:r>
        <w:rPr>
          <w:spacing w:val="1"/>
          <w:lang w:val="uk-UA"/>
        </w:rPr>
        <w:t xml:space="preserve"> </w:t>
      </w:r>
      <w:r>
        <w:rPr>
          <w:lang w:val="uk-UA"/>
        </w:rPr>
        <w:t>фізичних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осіб,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передбачених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нормами</w:t>
      </w:r>
      <w:r>
        <w:rPr>
          <w:spacing w:val="1"/>
          <w:lang w:val="uk-UA"/>
        </w:rPr>
        <w:t xml:space="preserve"> </w:t>
      </w:r>
      <w:r>
        <w:rPr>
          <w:lang w:val="uk-UA"/>
        </w:rPr>
        <w:t>Податкового</w:t>
      </w:r>
      <w:r>
        <w:rPr>
          <w:spacing w:val="-1"/>
          <w:lang w:val="uk-UA"/>
        </w:rPr>
        <w:t xml:space="preserve"> </w:t>
      </w:r>
      <w:r>
        <w:rPr>
          <w:lang w:val="uk-UA"/>
        </w:rPr>
        <w:t>кодексу</w:t>
      </w:r>
      <w:r>
        <w:rPr>
          <w:spacing w:val="-5"/>
          <w:lang w:val="uk-UA"/>
        </w:rPr>
        <w:t xml:space="preserve"> </w:t>
      </w:r>
      <w:r>
        <w:rPr>
          <w:lang w:val="uk-UA"/>
        </w:rPr>
        <w:t>України.</w:t>
      </w:r>
    </w:p>
    <w:p w:rsidR="009455E3" w:rsidRDefault="009455E3" w:rsidP="009455E3">
      <w:pPr>
        <w:pStyle w:val="ab"/>
        <w:ind w:right="411"/>
        <w:jc w:val="both"/>
        <w:rPr>
          <w:lang w:val="uk-UA"/>
        </w:rPr>
      </w:pPr>
      <w:r>
        <w:t>При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надходжень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доходи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враховано</w:t>
      </w:r>
      <w:r>
        <w:rPr>
          <w:spacing w:val="1"/>
        </w:rPr>
        <w:t xml:space="preserve"> </w:t>
      </w:r>
      <w:r>
        <w:t>збільшення обсягів надходжень за рахунок зростання доходів низькооплачуваних верств</w:t>
      </w:r>
      <w:r>
        <w:rPr>
          <w:spacing w:val="1"/>
        </w:rPr>
        <w:t xml:space="preserve"> </w:t>
      </w:r>
      <w:r>
        <w:t>населення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державне</w:t>
      </w:r>
      <w:r>
        <w:rPr>
          <w:spacing w:val="-1"/>
        </w:rPr>
        <w:t xml:space="preserve"> </w:t>
      </w:r>
      <w:r>
        <w:t>підвищення</w:t>
      </w:r>
      <w:r>
        <w:rPr>
          <w:spacing w:val="-1"/>
        </w:rPr>
        <w:t xml:space="preserve"> </w:t>
      </w:r>
      <w:r>
        <w:t>мінімальних</w:t>
      </w:r>
      <w:r>
        <w:rPr>
          <w:spacing w:val="2"/>
        </w:rPr>
        <w:t xml:space="preserve"> </w:t>
      </w:r>
      <w:r>
        <w:t>соціальних</w:t>
      </w:r>
      <w:r>
        <w:rPr>
          <w:spacing w:val="1"/>
        </w:rPr>
        <w:t xml:space="preserve"> </w:t>
      </w:r>
      <w:r>
        <w:t>гарантій</w:t>
      </w:r>
      <w:r>
        <w:rPr>
          <w:lang w:val="uk-UA"/>
        </w:rPr>
        <w:t xml:space="preserve">, а також </w:t>
      </w:r>
    </w:p>
    <w:p w:rsidR="009455E3" w:rsidRDefault="009455E3" w:rsidP="009455E3">
      <w:pPr>
        <w:pStyle w:val="a3"/>
        <w:widowControl w:val="0"/>
        <w:numPr>
          <w:ilvl w:val="0"/>
          <w:numId w:val="4"/>
        </w:numPr>
        <w:tabs>
          <w:tab w:val="left" w:pos="1082"/>
        </w:tabs>
        <w:autoSpaceDE w:val="0"/>
        <w:autoSpaceDN w:val="0"/>
        <w:spacing w:before="1" w:after="0" w:line="240" w:lineRule="auto"/>
        <w:ind w:left="1081" w:hanging="141"/>
        <w:contextualSpacing w:val="0"/>
        <w:jc w:val="both"/>
        <w:rPr>
          <w:sz w:val="24"/>
        </w:rPr>
      </w:pPr>
      <w:r>
        <w:rPr>
          <w:sz w:val="24"/>
        </w:rPr>
        <w:t>легалізація</w:t>
      </w:r>
      <w:r>
        <w:rPr>
          <w:spacing w:val="-1"/>
          <w:sz w:val="24"/>
        </w:rPr>
        <w:t xml:space="preserve"> </w:t>
      </w:r>
      <w:r>
        <w:rPr>
          <w:sz w:val="24"/>
        </w:rPr>
        <w:t>виплати</w:t>
      </w:r>
      <w:r>
        <w:rPr>
          <w:spacing w:val="-3"/>
          <w:sz w:val="24"/>
        </w:rPr>
        <w:t xml:space="preserve"> </w:t>
      </w:r>
      <w:r>
        <w:rPr>
          <w:sz w:val="24"/>
        </w:rPr>
        <w:t>заробітної</w:t>
      </w:r>
      <w:r>
        <w:rPr>
          <w:spacing w:val="-3"/>
          <w:sz w:val="24"/>
        </w:rPr>
        <w:t xml:space="preserve"> </w:t>
      </w:r>
      <w:r>
        <w:rPr>
          <w:sz w:val="24"/>
        </w:rPr>
        <w:t>плати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інше;</w:t>
      </w:r>
    </w:p>
    <w:p w:rsidR="009455E3" w:rsidRDefault="009455E3" w:rsidP="009455E3">
      <w:pPr>
        <w:pStyle w:val="a3"/>
        <w:widowControl w:val="0"/>
        <w:numPr>
          <w:ilvl w:val="0"/>
          <w:numId w:val="4"/>
        </w:numPr>
        <w:tabs>
          <w:tab w:val="left" w:pos="1082"/>
        </w:tabs>
        <w:autoSpaceDE w:val="0"/>
        <w:autoSpaceDN w:val="0"/>
        <w:spacing w:after="0" w:line="240" w:lineRule="auto"/>
        <w:ind w:left="1081" w:hanging="141"/>
        <w:contextualSpacing w:val="0"/>
        <w:jc w:val="both"/>
        <w:rPr>
          <w:sz w:val="24"/>
        </w:rPr>
      </w:pPr>
      <w:r>
        <w:rPr>
          <w:sz w:val="24"/>
        </w:rPr>
        <w:t>погашення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боргу</w:t>
      </w:r>
      <w:r>
        <w:rPr>
          <w:spacing w:val="-6"/>
          <w:sz w:val="24"/>
        </w:rPr>
        <w:t xml:space="preserve"> </w:t>
      </w:r>
      <w:r>
        <w:rPr>
          <w:sz w:val="24"/>
        </w:rPr>
        <w:t>з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податку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доходи</w:t>
      </w:r>
      <w:r>
        <w:rPr>
          <w:spacing w:val="-1"/>
          <w:sz w:val="24"/>
        </w:rPr>
        <w:t xml:space="preserve"> </w:t>
      </w:r>
      <w:r>
        <w:rPr>
          <w:sz w:val="24"/>
        </w:rPr>
        <w:t>фізичних осіб;</w:t>
      </w:r>
    </w:p>
    <w:p w:rsidR="009455E3" w:rsidRDefault="009455E3" w:rsidP="009455E3">
      <w:pPr>
        <w:pStyle w:val="a3"/>
        <w:widowControl w:val="0"/>
        <w:numPr>
          <w:ilvl w:val="0"/>
          <w:numId w:val="4"/>
        </w:numPr>
        <w:tabs>
          <w:tab w:val="left" w:pos="1082"/>
        </w:tabs>
        <w:autoSpaceDE w:val="0"/>
        <w:autoSpaceDN w:val="0"/>
        <w:spacing w:after="0" w:line="240" w:lineRule="auto"/>
        <w:ind w:left="1081" w:hanging="141"/>
        <w:contextualSpacing w:val="0"/>
        <w:jc w:val="both"/>
        <w:rPr>
          <w:sz w:val="24"/>
        </w:rPr>
      </w:pPr>
      <w:r>
        <w:rPr>
          <w:sz w:val="24"/>
        </w:rPr>
        <w:t>погашення</w:t>
      </w:r>
      <w:r>
        <w:rPr>
          <w:spacing w:val="-2"/>
          <w:sz w:val="24"/>
        </w:rPr>
        <w:t xml:space="preserve"> </w:t>
      </w:r>
      <w:r>
        <w:rPr>
          <w:sz w:val="24"/>
        </w:rPr>
        <w:t>заборгованості</w:t>
      </w:r>
      <w:r>
        <w:rPr>
          <w:spacing w:val="-1"/>
          <w:sz w:val="24"/>
        </w:rPr>
        <w:t xml:space="preserve"> </w:t>
      </w:r>
      <w:r>
        <w:rPr>
          <w:sz w:val="24"/>
        </w:rPr>
        <w:t>із</w:t>
      </w:r>
      <w:r>
        <w:rPr>
          <w:spacing w:val="-2"/>
          <w:sz w:val="24"/>
        </w:rPr>
        <w:t xml:space="preserve"> </w:t>
      </w:r>
      <w:r>
        <w:rPr>
          <w:sz w:val="24"/>
        </w:rPr>
        <w:t>виплати</w:t>
      </w:r>
      <w:r>
        <w:rPr>
          <w:spacing w:val="-3"/>
          <w:sz w:val="24"/>
        </w:rPr>
        <w:t xml:space="preserve"> </w:t>
      </w:r>
      <w:r>
        <w:rPr>
          <w:sz w:val="24"/>
        </w:rPr>
        <w:t>заробітної</w:t>
      </w:r>
      <w:r>
        <w:rPr>
          <w:spacing w:val="-2"/>
          <w:sz w:val="24"/>
        </w:rPr>
        <w:t xml:space="preserve"> </w:t>
      </w:r>
      <w:r>
        <w:rPr>
          <w:sz w:val="24"/>
        </w:rPr>
        <w:t>плати.</w:t>
      </w:r>
    </w:p>
    <w:p w:rsidR="009455E3" w:rsidRDefault="009455E3" w:rsidP="009455E3">
      <w:pPr>
        <w:pStyle w:val="ab"/>
        <w:ind w:right="411"/>
        <w:jc w:val="both"/>
        <w:rPr>
          <w:lang w:val="uk-UA"/>
        </w:rPr>
      </w:pPr>
    </w:p>
    <w:p w:rsidR="009455E3" w:rsidRDefault="009455E3" w:rsidP="009455E3">
      <w:pPr>
        <w:pStyle w:val="ab"/>
        <w:ind w:left="941"/>
        <w:jc w:val="both"/>
      </w:pPr>
      <w:r>
        <w:rPr>
          <w:lang w:val="uk-UA"/>
        </w:rPr>
        <w:t>П</w:t>
      </w:r>
      <w:r>
        <w:t>рогнозна</w:t>
      </w:r>
      <w:r>
        <w:rPr>
          <w:spacing w:val="1"/>
        </w:rPr>
        <w:t xml:space="preserve"> </w:t>
      </w:r>
      <w:r>
        <w:t>сума</w:t>
      </w:r>
      <w:r>
        <w:rPr>
          <w:spacing w:val="2"/>
        </w:rPr>
        <w:t xml:space="preserve"> </w:t>
      </w:r>
      <w:r>
        <w:t>ПДФО</w:t>
      </w:r>
      <w:r>
        <w:rPr>
          <w:spacing w:val="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2022</w:t>
      </w:r>
      <w:r>
        <w:rPr>
          <w:spacing w:val="3"/>
        </w:rPr>
        <w:t xml:space="preserve"> </w:t>
      </w:r>
      <w:r>
        <w:t>рік</w:t>
      </w:r>
      <w:r>
        <w:rPr>
          <w:spacing w:val="3"/>
        </w:rPr>
        <w:t xml:space="preserve"> </w:t>
      </w:r>
      <w:r>
        <w:t>складе</w:t>
      </w:r>
      <w:r>
        <w:rPr>
          <w:spacing w:val="7"/>
        </w:rPr>
        <w:t xml:space="preserve"> </w:t>
      </w:r>
      <w:r>
        <w:rPr>
          <w:spacing w:val="7"/>
          <w:lang w:val="uk-UA"/>
        </w:rPr>
        <w:t>51756,8тис.</w:t>
      </w:r>
      <w:r>
        <w:rPr>
          <w:spacing w:val="4"/>
          <w:lang w:val="uk-UA"/>
        </w:rPr>
        <w:t xml:space="preserve"> </w:t>
      </w:r>
      <w:r>
        <w:t>грн, що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rPr>
          <w:spacing w:val="3"/>
          <w:lang w:val="uk-UA"/>
        </w:rPr>
        <w:t>6234,9тис.</w:t>
      </w:r>
      <w:r>
        <w:rPr>
          <w:spacing w:val="4"/>
          <w:lang w:val="uk-UA"/>
        </w:rPr>
        <w:t xml:space="preserve"> </w:t>
      </w:r>
      <w:r>
        <w:t>грн</w:t>
      </w:r>
    </w:p>
    <w:p w:rsidR="009455E3" w:rsidRDefault="009455E3" w:rsidP="009455E3">
      <w:pPr>
        <w:pStyle w:val="ab"/>
        <w:jc w:val="both"/>
        <w:rPr>
          <w:lang w:val="uk-UA"/>
        </w:rPr>
      </w:pPr>
      <w:r>
        <w:t>або</w:t>
      </w:r>
      <w:r>
        <w:rPr>
          <w:spacing w:val="85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rPr>
          <w:spacing w:val="85"/>
          <w:lang w:val="uk-UA"/>
        </w:rPr>
        <w:t xml:space="preserve">13,7 </w:t>
      </w:r>
      <w:r>
        <w:t>%</w:t>
      </w:r>
      <w:r>
        <w:rPr>
          <w:spacing w:val="85"/>
        </w:rPr>
        <w:t xml:space="preserve"> </w:t>
      </w:r>
      <w:r>
        <w:t>більше,</w:t>
      </w:r>
      <w:r>
        <w:rPr>
          <w:spacing w:val="82"/>
        </w:rPr>
        <w:t xml:space="preserve"> </w:t>
      </w:r>
      <w:r>
        <w:t>ніж</w:t>
      </w:r>
      <w:r>
        <w:rPr>
          <w:spacing w:val="88"/>
        </w:rPr>
        <w:t xml:space="preserve"> </w:t>
      </w:r>
      <w:r>
        <w:t>у</w:t>
      </w:r>
      <w:r>
        <w:rPr>
          <w:spacing w:val="77"/>
        </w:rPr>
        <w:t xml:space="preserve"> </w:t>
      </w:r>
      <w:r>
        <w:t>2021</w:t>
      </w:r>
      <w:r>
        <w:rPr>
          <w:spacing w:val="86"/>
        </w:rPr>
        <w:t xml:space="preserve"> </w:t>
      </w:r>
      <w:r>
        <w:t>році,</w:t>
      </w:r>
      <w:r>
        <w:rPr>
          <w:spacing w:val="83"/>
        </w:rPr>
        <w:t xml:space="preserve"> </w:t>
      </w:r>
      <w:r>
        <w:t>на</w:t>
      </w:r>
      <w:r>
        <w:rPr>
          <w:spacing w:val="82"/>
        </w:rPr>
        <w:t xml:space="preserve"> </w:t>
      </w:r>
      <w:r>
        <w:t>2023</w:t>
      </w:r>
      <w:r>
        <w:rPr>
          <w:spacing w:val="85"/>
        </w:rPr>
        <w:t xml:space="preserve"> </w:t>
      </w:r>
      <w:r>
        <w:t>рік</w:t>
      </w:r>
      <w:r>
        <w:rPr>
          <w:spacing w:val="89"/>
        </w:rPr>
        <w:t xml:space="preserve"> </w:t>
      </w:r>
      <w:r>
        <w:t>–</w:t>
      </w:r>
      <w:r>
        <w:rPr>
          <w:spacing w:val="85"/>
        </w:rPr>
        <w:t xml:space="preserve"> </w:t>
      </w:r>
      <w:r>
        <w:rPr>
          <w:spacing w:val="85"/>
          <w:lang w:val="uk-UA"/>
        </w:rPr>
        <w:t>55012,8тис.</w:t>
      </w:r>
      <w:r>
        <w:t>грн,</w:t>
      </w:r>
      <w:r>
        <w:rPr>
          <w:spacing w:val="83"/>
        </w:rPr>
        <w:t xml:space="preserve"> </w:t>
      </w:r>
      <w:r>
        <w:t>що</w:t>
      </w:r>
      <w:r>
        <w:rPr>
          <w:spacing w:val="83"/>
        </w:rPr>
        <w:t xml:space="preserve"> </w:t>
      </w:r>
      <w:r>
        <w:t>на</w:t>
      </w:r>
      <w:r>
        <w:rPr>
          <w:lang w:val="uk-UA"/>
        </w:rPr>
        <w:t xml:space="preserve"> 3256,0тис.грн.,</w:t>
      </w:r>
      <w:r>
        <w:t xml:space="preserve"> або </w:t>
      </w:r>
      <w:r>
        <w:rPr>
          <w:lang w:val="uk-UA"/>
        </w:rPr>
        <w:t>6,3</w:t>
      </w:r>
      <w:r>
        <w:t xml:space="preserve"> %</w:t>
      </w:r>
      <w:r>
        <w:rPr>
          <w:spacing w:val="-2"/>
        </w:rPr>
        <w:t xml:space="preserve"> </w:t>
      </w:r>
      <w:r>
        <w:t>більше, ніж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2022 році</w:t>
      </w:r>
      <w:r>
        <w:rPr>
          <w:lang w:val="uk-UA"/>
        </w:rPr>
        <w:t xml:space="preserve">, </w:t>
      </w:r>
      <w:r>
        <w:t>на</w:t>
      </w:r>
      <w:r>
        <w:rPr>
          <w:spacing w:val="1"/>
        </w:rPr>
        <w:t xml:space="preserve"> </w:t>
      </w:r>
      <w:r>
        <w:t>202</w:t>
      </w:r>
      <w:r>
        <w:rPr>
          <w:lang w:val="uk-UA"/>
        </w:rPr>
        <w:t>4</w:t>
      </w:r>
      <w:r>
        <w:rPr>
          <w:spacing w:val="3"/>
          <w:lang w:val="uk-UA"/>
        </w:rPr>
        <w:t xml:space="preserve"> </w:t>
      </w:r>
      <w:r>
        <w:t>рік</w:t>
      </w:r>
      <w:r>
        <w:rPr>
          <w:spacing w:val="3"/>
        </w:rPr>
        <w:t xml:space="preserve"> </w:t>
      </w:r>
      <w:r>
        <w:t>складе</w:t>
      </w:r>
      <w:r>
        <w:rPr>
          <w:lang w:val="uk-UA"/>
        </w:rPr>
        <w:t xml:space="preserve"> 58866,7тис.грн., що на 3854,0тис.грн., або на 7,0% більше ніж у 2023році. </w:t>
      </w:r>
    </w:p>
    <w:p w:rsidR="009455E3" w:rsidRDefault="009455E3" w:rsidP="009455E3">
      <w:pPr>
        <w:pStyle w:val="ab"/>
        <w:ind w:left="941"/>
        <w:jc w:val="both"/>
      </w:pPr>
      <w:r>
        <w:t>Основні</w:t>
      </w:r>
      <w:r>
        <w:rPr>
          <w:spacing w:val="-3"/>
        </w:rPr>
        <w:t xml:space="preserve"> </w:t>
      </w:r>
      <w:r>
        <w:t>чинники,</w:t>
      </w:r>
      <w:r>
        <w:rPr>
          <w:spacing w:val="-2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вплинуть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надходження:</w:t>
      </w:r>
    </w:p>
    <w:p w:rsidR="009455E3" w:rsidRDefault="009455E3" w:rsidP="009455E3">
      <w:pPr>
        <w:pStyle w:val="a3"/>
        <w:widowControl w:val="0"/>
        <w:numPr>
          <w:ilvl w:val="0"/>
          <w:numId w:val="4"/>
        </w:numPr>
        <w:tabs>
          <w:tab w:val="left" w:pos="1127"/>
        </w:tabs>
        <w:autoSpaceDE w:val="0"/>
        <w:autoSpaceDN w:val="0"/>
        <w:spacing w:after="0" w:line="240" w:lineRule="auto"/>
        <w:ind w:right="405" w:firstLine="719"/>
        <w:contextualSpacing w:val="0"/>
        <w:jc w:val="both"/>
        <w:rPr>
          <w:sz w:val="24"/>
        </w:rPr>
      </w:pPr>
      <w:r>
        <w:rPr>
          <w:sz w:val="24"/>
        </w:rPr>
        <w:t>застосування єдиної ставки (18 %) оподаткування доходів фізичних осіб;</w:t>
      </w:r>
    </w:p>
    <w:p w:rsidR="009455E3" w:rsidRDefault="009455E3" w:rsidP="009455E3">
      <w:pPr>
        <w:pStyle w:val="a3"/>
        <w:widowControl w:val="0"/>
        <w:numPr>
          <w:ilvl w:val="0"/>
          <w:numId w:val="4"/>
        </w:numPr>
        <w:tabs>
          <w:tab w:val="left" w:pos="1082"/>
        </w:tabs>
        <w:autoSpaceDE w:val="0"/>
        <w:autoSpaceDN w:val="0"/>
        <w:spacing w:after="0" w:line="240" w:lineRule="auto"/>
        <w:ind w:left="1081" w:hanging="141"/>
        <w:contextualSpacing w:val="0"/>
        <w:jc w:val="both"/>
        <w:rPr>
          <w:sz w:val="24"/>
        </w:rPr>
      </w:pPr>
      <w:r>
        <w:rPr>
          <w:sz w:val="24"/>
        </w:rPr>
        <w:t>підвищення</w:t>
      </w:r>
      <w:r>
        <w:rPr>
          <w:spacing w:val="-4"/>
          <w:sz w:val="24"/>
        </w:rPr>
        <w:t xml:space="preserve"> </w:t>
      </w:r>
      <w:r>
        <w:rPr>
          <w:sz w:val="24"/>
        </w:rPr>
        <w:t>мінімальної</w:t>
      </w:r>
      <w:r>
        <w:rPr>
          <w:spacing w:val="-4"/>
          <w:sz w:val="24"/>
        </w:rPr>
        <w:t xml:space="preserve"> </w:t>
      </w:r>
      <w:r>
        <w:rPr>
          <w:sz w:val="24"/>
        </w:rPr>
        <w:t>заробітної</w:t>
      </w:r>
      <w:r>
        <w:rPr>
          <w:spacing w:val="-4"/>
          <w:sz w:val="24"/>
        </w:rPr>
        <w:t xml:space="preserve"> </w:t>
      </w:r>
      <w:r>
        <w:rPr>
          <w:sz w:val="24"/>
        </w:rPr>
        <w:t>плати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прожиткового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мінімуму;</w:t>
      </w:r>
    </w:p>
    <w:p w:rsidR="009455E3" w:rsidRDefault="009455E3" w:rsidP="009455E3">
      <w:pPr>
        <w:pStyle w:val="a3"/>
        <w:widowControl w:val="0"/>
        <w:numPr>
          <w:ilvl w:val="0"/>
          <w:numId w:val="4"/>
        </w:numPr>
        <w:tabs>
          <w:tab w:val="left" w:pos="1098"/>
        </w:tabs>
        <w:autoSpaceDE w:val="0"/>
        <w:autoSpaceDN w:val="0"/>
        <w:spacing w:after="0" w:line="240" w:lineRule="auto"/>
        <w:ind w:right="412" w:firstLine="719"/>
        <w:contextualSpacing w:val="0"/>
        <w:jc w:val="both"/>
        <w:rPr>
          <w:sz w:val="24"/>
        </w:rPr>
      </w:pPr>
      <w:r>
        <w:rPr>
          <w:sz w:val="24"/>
        </w:rPr>
        <w:t>зниження податкового навантаження на громадян за рахунок надання податкової</w:t>
      </w:r>
      <w:r>
        <w:rPr>
          <w:spacing w:val="1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77"/>
          <w:sz w:val="24"/>
        </w:rPr>
        <w:t xml:space="preserve"> </w:t>
      </w:r>
      <w:r>
        <w:rPr>
          <w:sz w:val="24"/>
        </w:rPr>
        <w:t>пільги</w:t>
      </w:r>
      <w:r>
        <w:rPr>
          <w:spacing w:val="77"/>
          <w:sz w:val="24"/>
        </w:rPr>
        <w:t xml:space="preserve"> </w:t>
      </w:r>
      <w:r>
        <w:rPr>
          <w:sz w:val="24"/>
        </w:rPr>
        <w:t>на</w:t>
      </w:r>
      <w:r>
        <w:rPr>
          <w:spacing w:val="74"/>
          <w:sz w:val="24"/>
        </w:rPr>
        <w:t xml:space="preserve"> </w:t>
      </w:r>
      <w:r>
        <w:rPr>
          <w:sz w:val="24"/>
        </w:rPr>
        <w:t>рівні</w:t>
      </w:r>
      <w:r>
        <w:rPr>
          <w:spacing w:val="77"/>
          <w:sz w:val="24"/>
        </w:rPr>
        <w:t xml:space="preserve"> </w:t>
      </w:r>
      <w:r>
        <w:rPr>
          <w:sz w:val="24"/>
        </w:rPr>
        <w:t>50</w:t>
      </w:r>
      <w:r>
        <w:rPr>
          <w:spacing w:val="76"/>
          <w:sz w:val="24"/>
        </w:rPr>
        <w:t xml:space="preserve"> </w:t>
      </w:r>
      <w:r>
        <w:rPr>
          <w:sz w:val="24"/>
        </w:rPr>
        <w:t>%</w:t>
      </w:r>
      <w:r>
        <w:rPr>
          <w:spacing w:val="77"/>
          <w:sz w:val="24"/>
        </w:rPr>
        <w:t xml:space="preserve"> </w:t>
      </w:r>
      <w:r>
        <w:rPr>
          <w:sz w:val="24"/>
        </w:rPr>
        <w:t>прожиткового</w:t>
      </w:r>
      <w:r>
        <w:rPr>
          <w:spacing w:val="76"/>
          <w:sz w:val="24"/>
        </w:rPr>
        <w:t xml:space="preserve"> </w:t>
      </w:r>
      <w:r>
        <w:rPr>
          <w:sz w:val="24"/>
        </w:rPr>
        <w:t>мінімуму</w:t>
      </w:r>
      <w:r>
        <w:rPr>
          <w:spacing w:val="72"/>
          <w:sz w:val="24"/>
        </w:rPr>
        <w:t xml:space="preserve"> </w:t>
      </w:r>
      <w:r>
        <w:rPr>
          <w:sz w:val="24"/>
        </w:rPr>
        <w:t>для</w:t>
      </w:r>
      <w:r>
        <w:rPr>
          <w:spacing w:val="78"/>
          <w:sz w:val="24"/>
        </w:rPr>
        <w:t xml:space="preserve"> </w:t>
      </w:r>
      <w:r>
        <w:rPr>
          <w:sz w:val="24"/>
        </w:rPr>
        <w:t>працездатних</w:t>
      </w:r>
      <w:r>
        <w:rPr>
          <w:spacing w:val="79"/>
          <w:sz w:val="24"/>
        </w:rPr>
        <w:t xml:space="preserve"> </w:t>
      </w:r>
      <w:r>
        <w:rPr>
          <w:sz w:val="24"/>
        </w:rPr>
        <w:t>осіб.</w:t>
      </w:r>
    </w:p>
    <w:p w:rsidR="009455E3" w:rsidRDefault="009455E3" w:rsidP="009455E3">
      <w:pPr>
        <w:jc w:val="both"/>
        <w:rPr>
          <w:sz w:val="24"/>
        </w:rPr>
      </w:pPr>
    </w:p>
    <w:p w:rsidR="009455E3" w:rsidRDefault="009455E3" w:rsidP="009455E3">
      <w:pPr>
        <w:jc w:val="both"/>
        <w:rPr>
          <w:b/>
          <w:lang w:val="uk-UA"/>
        </w:rPr>
      </w:pPr>
      <w:r>
        <w:rPr>
          <w:b/>
          <w:sz w:val="28"/>
          <w:szCs w:val="28"/>
          <w:u w:val="single"/>
          <w:lang w:val="uk-UA"/>
        </w:rPr>
        <w:t>Податок на прибуток підприємств комунальної власності</w:t>
      </w:r>
    </w:p>
    <w:p w:rsidR="009455E3" w:rsidRDefault="009455E3" w:rsidP="009455E3">
      <w:pPr>
        <w:jc w:val="both"/>
        <w:rPr>
          <w:lang w:val="uk-UA"/>
        </w:rPr>
      </w:pPr>
      <w:r>
        <w:rPr>
          <w:lang w:val="uk-UA"/>
        </w:rPr>
        <w:t>Платниками цього податку є наступні підприємства:</w:t>
      </w:r>
    </w:p>
    <w:p w:rsidR="009455E3" w:rsidRDefault="009455E3" w:rsidP="009455E3">
      <w:pPr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КП «Благо» с. Багате</w:t>
      </w:r>
    </w:p>
    <w:p w:rsidR="009455E3" w:rsidRDefault="009455E3" w:rsidP="009455E3">
      <w:pPr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КП «Сімвол» с.Стара </w:t>
      </w:r>
      <w:r w:rsidR="00944EB4">
        <w:rPr>
          <w:lang w:val="uk-UA"/>
        </w:rPr>
        <w:t>Н</w:t>
      </w:r>
      <w:r>
        <w:rPr>
          <w:lang w:val="uk-UA"/>
        </w:rPr>
        <w:t>екрасівка</w:t>
      </w:r>
    </w:p>
    <w:p w:rsidR="009455E3" w:rsidRDefault="009455E3" w:rsidP="009455E3">
      <w:pPr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КП «Ташбунар –Сервіс» с. Кам</w:t>
      </w:r>
      <w:r>
        <w:t>’</w:t>
      </w:r>
      <w:r>
        <w:rPr>
          <w:lang w:val="uk-UA"/>
        </w:rPr>
        <w:t>янка</w:t>
      </w:r>
    </w:p>
    <w:p w:rsidR="009455E3" w:rsidRDefault="009455E3" w:rsidP="009455E3">
      <w:pPr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КП «Будііельник»</w:t>
      </w:r>
    </w:p>
    <w:p w:rsidR="009455E3" w:rsidRDefault="009455E3" w:rsidP="009455E3">
      <w:pPr>
        <w:pStyle w:val="ab"/>
        <w:ind w:right="403"/>
        <w:jc w:val="both"/>
      </w:pPr>
      <w:r>
        <w:rPr>
          <w:lang w:val="uk-UA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надходжень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прибуток</w:t>
      </w:r>
      <w:r>
        <w:rPr>
          <w:spacing w:val="1"/>
        </w:rPr>
        <w:t xml:space="preserve"> </w:t>
      </w:r>
      <w:r>
        <w:t>підприємств</w:t>
      </w:r>
      <w:r>
        <w:rPr>
          <w:spacing w:val="1"/>
        </w:rPr>
        <w:t xml:space="preserve"> </w:t>
      </w:r>
      <w:r>
        <w:t>розраховано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норм чинного законодавства по сплаті податку на прибуток із урахуванням термінів його</w:t>
      </w:r>
      <w:r>
        <w:rPr>
          <w:spacing w:val="1"/>
        </w:rPr>
        <w:t xml:space="preserve"> </w:t>
      </w:r>
      <w:r>
        <w:t>сплати</w:t>
      </w:r>
      <w:r>
        <w:rPr>
          <w:lang w:val="uk-UA"/>
        </w:rPr>
        <w:t xml:space="preserve">. </w:t>
      </w:r>
      <w:r>
        <w:rPr>
          <w:lang w:val="uk-UA"/>
        </w:rPr>
        <w:lastRenderedPageBreak/>
        <w:t>П</w:t>
      </w:r>
      <w:r>
        <w:t>итома</w:t>
      </w:r>
      <w:r>
        <w:rPr>
          <w:spacing w:val="1"/>
        </w:rPr>
        <w:t xml:space="preserve"> </w:t>
      </w:r>
      <w:r>
        <w:t>вага</w:t>
      </w:r>
      <w:r>
        <w:rPr>
          <w:spacing w:val="1"/>
        </w:rPr>
        <w:t xml:space="preserve"> </w:t>
      </w:r>
      <w:r>
        <w:rPr>
          <w:spacing w:val="1"/>
          <w:lang w:val="uk-UA"/>
        </w:rPr>
        <w:t xml:space="preserve">податку на прибуток  </w:t>
      </w:r>
      <w:r>
        <w:t>в</w:t>
      </w:r>
      <w:r>
        <w:rPr>
          <w:spacing w:val="1"/>
        </w:rPr>
        <w:t xml:space="preserve"> </w:t>
      </w:r>
      <w:r>
        <w:t>загальному</w:t>
      </w:r>
      <w:r>
        <w:rPr>
          <w:spacing w:val="60"/>
        </w:rPr>
        <w:t xml:space="preserve"> </w:t>
      </w:r>
      <w:r>
        <w:t>фонді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2022</w:t>
      </w:r>
      <w:r>
        <w:rPr>
          <w:lang w:val="uk-UA"/>
        </w:rPr>
        <w:t>-2024роки</w:t>
      </w:r>
      <w:r>
        <w:rPr>
          <w:spacing w:val="60"/>
          <w:lang w:val="uk-UA"/>
        </w:rPr>
        <w:t xml:space="preserve"> </w:t>
      </w:r>
      <w:r>
        <w:t>складає</w:t>
      </w:r>
      <w:r>
        <w:rPr>
          <w:spacing w:val="1"/>
        </w:rPr>
        <w:t xml:space="preserve"> </w:t>
      </w:r>
      <w:r>
        <w:t>м</w:t>
      </w:r>
      <w:r>
        <w:rPr>
          <w:lang w:val="uk-UA"/>
        </w:rPr>
        <w:t xml:space="preserve">енше 1,0 </w:t>
      </w:r>
      <w:r>
        <w:t>%.</w:t>
      </w:r>
    </w:p>
    <w:p w:rsidR="009455E3" w:rsidRDefault="009455E3" w:rsidP="009455E3">
      <w:pPr>
        <w:pStyle w:val="ab"/>
        <w:ind w:right="403"/>
        <w:jc w:val="both"/>
        <w:rPr>
          <w:lang w:val="uk-UA"/>
        </w:rPr>
      </w:pPr>
      <w:r>
        <w:t>Прогнозна</w:t>
      </w:r>
      <w:r>
        <w:rPr>
          <w:spacing w:val="60"/>
        </w:rPr>
        <w:t xml:space="preserve"> </w:t>
      </w:r>
      <w:r>
        <w:t>сума</w:t>
      </w:r>
      <w:r>
        <w:rPr>
          <w:spacing w:val="60"/>
        </w:rPr>
        <w:t xml:space="preserve"> </w:t>
      </w:r>
      <w:r>
        <w:t>податку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прибуток</w:t>
      </w:r>
      <w:r>
        <w:rPr>
          <w:spacing w:val="61"/>
        </w:rPr>
        <w:t xml:space="preserve"> </w:t>
      </w:r>
      <w:r>
        <w:t>підприємств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2022</w:t>
      </w:r>
      <w:r>
        <w:rPr>
          <w:spacing w:val="61"/>
        </w:rPr>
        <w:t xml:space="preserve"> </w:t>
      </w:r>
      <w:r>
        <w:t>рік   становитиме</w:t>
      </w:r>
      <w:r>
        <w:rPr>
          <w:lang w:val="uk-UA"/>
        </w:rPr>
        <w:t xml:space="preserve"> 7,6тис.</w:t>
      </w:r>
      <w:r>
        <w:t xml:space="preserve"> грн, що на </w:t>
      </w:r>
      <w:r>
        <w:rPr>
          <w:lang w:val="uk-UA"/>
        </w:rPr>
        <w:t xml:space="preserve">2,2тис.грн. більше </w:t>
      </w:r>
      <w:r>
        <w:t xml:space="preserve">ніж у 2021 році, на 2023 рік – </w:t>
      </w:r>
      <w:r>
        <w:rPr>
          <w:lang w:val="uk-UA"/>
        </w:rPr>
        <w:t>7,9тис.</w:t>
      </w:r>
      <w:r>
        <w:t xml:space="preserve"> грн,</w:t>
      </w:r>
      <w:r>
        <w:rPr>
          <w:spacing w:val="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на</w:t>
      </w:r>
      <w:r>
        <w:rPr>
          <w:lang w:val="uk-UA"/>
        </w:rPr>
        <w:t xml:space="preserve"> 0,3тис.</w:t>
      </w:r>
      <w:r>
        <w:t>грн</w:t>
      </w:r>
      <w:r>
        <w:rPr>
          <w:spacing w:val="1"/>
        </w:rPr>
        <w:t xml:space="preserve"> </w:t>
      </w:r>
      <w:r>
        <w:t>більше</w:t>
      </w:r>
      <w:r>
        <w:rPr>
          <w:spacing w:val="-1"/>
        </w:rPr>
        <w:t xml:space="preserve"> </w:t>
      </w:r>
      <w:r>
        <w:t>ніж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2022 році</w:t>
      </w:r>
      <w:r>
        <w:rPr>
          <w:lang w:val="uk-UA"/>
        </w:rPr>
        <w:t xml:space="preserve"> та на 2024рік – 8,3тис.грн., що на 0,4тис.грн. більше ніж у 2023році.</w:t>
      </w:r>
    </w:p>
    <w:p w:rsidR="009455E3" w:rsidRDefault="009455E3" w:rsidP="009455E3">
      <w:pPr>
        <w:ind w:left="360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Рентна плата за користування надрами</w:t>
      </w:r>
    </w:p>
    <w:p w:rsidR="009455E3" w:rsidRDefault="009455E3" w:rsidP="009455E3">
      <w:pPr>
        <w:jc w:val="both"/>
        <w:rPr>
          <w:sz w:val="24"/>
          <w:szCs w:val="24"/>
          <w:lang w:val="uk-UA"/>
        </w:rPr>
      </w:pPr>
      <w:r>
        <w:rPr>
          <w:lang w:val="uk-UA"/>
        </w:rPr>
        <w:t>Показник рентної плати за користування надрами для видобування корисних копалин загальнодержавного значення на 2022-2024роки розраховано на підставі фактичних надходжень</w:t>
      </w:r>
      <w:r w:rsidR="00944EB4">
        <w:rPr>
          <w:lang w:val="uk-UA"/>
        </w:rPr>
        <w:t xml:space="preserve">  від</w:t>
      </w:r>
      <w:r>
        <w:rPr>
          <w:lang w:val="uk-UA"/>
        </w:rPr>
        <w:t xml:space="preserve"> 13 підприємств</w:t>
      </w:r>
      <w:r>
        <w:rPr>
          <w:b/>
          <w:u w:val="single"/>
          <w:lang w:val="uk-UA"/>
        </w:rPr>
        <w:t>.</w:t>
      </w:r>
      <w:r>
        <w:rPr>
          <w:lang w:val="uk-UA"/>
        </w:rPr>
        <w:t xml:space="preserve">  До місцевого бюджету надходить 5%. Питома вага в загальному фонді бюджету також складає менше 1%. На 2022рік заплановано надходження в сумі 6,0тис.грн., на 2023рік – 6,3тис.грн. та на 2024рік -6,6</w:t>
      </w:r>
      <w:r w:rsidR="00944EB4">
        <w:rPr>
          <w:lang w:val="uk-UA"/>
        </w:rPr>
        <w:t xml:space="preserve"> </w:t>
      </w:r>
      <w:r>
        <w:rPr>
          <w:lang w:val="uk-UA"/>
        </w:rPr>
        <w:t xml:space="preserve">тис.грн. </w:t>
      </w:r>
    </w:p>
    <w:p w:rsidR="009455E3" w:rsidRDefault="009455E3" w:rsidP="009455E3">
      <w:pPr>
        <w:jc w:val="both"/>
        <w:rPr>
          <w:lang w:val="uk-UA"/>
        </w:rPr>
      </w:pPr>
    </w:p>
    <w:p w:rsidR="009455E3" w:rsidRDefault="009455E3" w:rsidP="009455E3">
      <w:pPr>
        <w:jc w:val="both"/>
        <w:rPr>
          <w:lang w:val="uk-UA"/>
        </w:rPr>
      </w:pPr>
      <w:r>
        <w:rPr>
          <w:b/>
          <w:u w:val="single"/>
          <w:lang w:val="uk-UA"/>
        </w:rPr>
        <w:t xml:space="preserve"> А</w:t>
      </w:r>
      <w:r>
        <w:rPr>
          <w:b/>
          <w:sz w:val="28"/>
          <w:szCs w:val="28"/>
          <w:u w:val="single"/>
          <w:lang w:val="uk-UA"/>
        </w:rPr>
        <w:t>кцизний податок з реалізації суб’єктами господарювання роздрібної торгівлі підакцизних товарів</w:t>
      </w:r>
      <w:r>
        <w:rPr>
          <w:lang w:val="uk-UA"/>
        </w:rPr>
        <w:t xml:space="preserve">  заплановано на 2022рік в сумі 819,5тис.грн., що на 47,8тис.грн. або на 6,2% більше ніж  планові призначення 2021року, на 2023рік – 862,9тис.грн., що на 43,4тис.грн., або на 5,3% більше ніж у 2022році, на 2024рік – 906,1тис.грн., що на 43,2тис.грн., або на 5% більше ніж у 2023році. При розрахунку акцизного податку враховано індекс споживчих цін.  </w:t>
      </w:r>
    </w:p>
    <w:p w:rsidR="009455E3" w:rsidRDefault="009455E3" w:rsidP="009455E3">
      <w:pPr>
        <w:jc w:val="both"/>
        <w:rPr>
          <w:lang w:val="uk-UA"/>
        </w:rPr>
      </w:pPr>
    </w:p>
    <w:p w:rsidR="009455E3" w:rsidRDefault="009455E3" w:rsidP="009455E3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Податок на майно (Податок на нерухоме майно, відмінне від земельної ділянки)</w:t>
      </w:r>
    </w:p>
    <w:p w:rsidR="009455E3" w:rsidRDefault="009455E3" w:rsidP="009455E3">
      <w:pPr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Розрахунок показника проведено у розрізі об’єктів житлової та комерційної нерухомостей, юридичних та фізичних осіб, з урахуванням площі об’єктів. Також враховано термін сплати юридичними та фізичними особами та єдині ставки затверджені рішенням сесії  </w:t>
      </w:r>
      <w:r>
        <w:rPr>
          <w:spacing w:val="-5"/>
          <w:lang w:val="uk-UA"/>
        </w:rPr>
        <w:t>С</w:t>
      </w:r>
      <w:r>
        <w:rPr>
          <w:lang w:val="uk-UA"/>
        </w:rPr>
        <w:t>аф’янівської сільської територіальної  громади та вводяться в дію з 01.01.2022року.</w:t>
      </w:r>
    </w:p>
    <w:p w:rsidR="009455E3" w:rsidRDefault="009455E3" w:rsidP="009455E3">
      <w:pPr>
        <w:pStyle w:val="ab"/>
        <w:ind w:left="941"/>
        <w:jc w:val="both"/>
      </w:pPr>
      <w:r>
        <w:rPr>
          <w:lang w:val="uk-UA"/>
        </w:rPr>
        <w:t>П</w:t>
      </w:r>
      <w:r>
        <w:t>рогнозна</w:t>
      </w:r>
      <w:r>
        <w:rPr>
          <w:spacing w:val="1"/>
        </w:rPr>
        <w:t xml:space="preserve"> </w:t>
      </w:r>
      <w:r>
        <w:t>сума</w:t>
      </w:r>
      <w:r>
        <w:rPr>
          <w:spacing w:val="2"/>
        </w:rPr>
        <w:t xml:space="preserve"> </w:t>
      </w:r>
      <w:r>
        <w:rPr>
          <w:spacing w:val="2"/>
          <w:lang w:val="uk-UA"/>
        </w:rPr>
        <w:t xml:space="preserve">податку </w:t>
      </w:r>
      <w:r>
        <w:t>на</w:t>
      </w:r>
      <w:r>
        <w:rPr>
          <w:spacing w:val="1"/>
        </w:rPr>
        <w:t xml:space="preserve"> </w:t>
      </w:r>
      <w:r>
        <w:t>2022</w:t>
      </w:r>
      <w:r>
        <w:rPr>
          <w:spacing w:val="3"/>
        </w:rPr>
        <w:t xml:space="preserve"> </w:t>
      </w:r>
      <w:r>
        <w:t>рік</w:t>
      </w:r>
      <w:r>
        <w:rPr>
          <w:spacing w:val="3"/>
        </w:rPr>
        <w:t xml:space="preserve"> </w:t>
      </w:r>
      <w:r>
        <w:t>складе</w:t>
      </w:r>
      <w:r>
        <w:rPr>
          <w:spacing w:val="7"/>
        </w:rPr>
        <w:t xml:space="preserve"> </w:t>
      </w:r>
      <w:r>
        <w:rPr>
          <w:spacing w:val="7"/>
          <w:lang w:val="uk-UA"/>
        </w:rPr>
        <w:t>2668,3тис.</w:t>
      </w:r>
      <w:r>
        <w:rPr>
          <w:spacing w:val="4"/>
          <w:lang w:val="uk-UA"/>
        </w:rPr>
        <w:t xml:space="preserve"> </w:t>
      </w:r>
      <w:r>
        <w:t>грн, що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rPr>
          <w:spacing w:val="3"/>
          <w:lang w:val="uk-UA"/>
        </w:rPr>
        <w:t xml:space="preserve">433,6тис.грн. </w:t>
      </w:r>
    </w:p>
    <w:p w:rsidR="009455E3" w:rsidRDefault="009455E3" w:rsidP="009455E3">
      <w:pPr>
        <w:pStyle w:val="ab"/>
        <w:jc w:val="both"/>
        <w:rPr>
          <w:lang w:val="uk-UA"/>
        </w:rPr>
      </w:pPr>
      <w:r>
        <w:t>або</w:t>
      </w:r>
      <w:r>
        <w:rPr>
          <w:spacing w:val="85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rPr>
          <w:spacing w:val="85"/>
          <w:lang w:val="uk-UA"/>
        </w:rPr>
        <w:t xml:space="preserve">19,4 </w:t>
      </w:r>
      <w:r>
        <w:t>%</w:t>
      </w:r>
      <w:r>
        <w:rPr>
          <w:spacing w:val="85"/>
        </w:rPr>
        <w:t xml:space="preserve"> </w:t>
      </w:r>
      <w:r>
        <w:t>більше,</w:t>
      </w:r>
      <w:r>
        <w:rPr>
          <w:spacing w:val="82"/>
        </w:rPr>
        <w:t xml:space="preserve"> </w:t>
      </w:r>
      <w:r>
        <w:t>ніж</w:t>
      </w:r>
      <w:r>
        <w:rPr>
          <w:spacing w:val="88"/>
        </w:rPr>
        <w:t xml:space="preserve"> </w:t>
      </w:r>
      <w:r>
        <w:t>у</w:t>
      </w:r>
      <w:r>
        <w:rPr>
          <w:spacing w:val="77"/>
        </w:rPr>
        <w:t xml:space="preserve"> </w:t>
      </w:r>
      <w:r>
        <w:t>2021</w:t>
      </w:r>
      <w:r>
        <w:rPr>
          <w:spacing w:val="86"/>
        </w:rPr>
        <w:t xml:space="preserve"> </w:t>
      </w:r>
      <w:r>
        <w:t>році,</w:t>
      </w:r>
      <w:r>
        <w:rPr>
          <w:spacing w:val="83"/>
        </w:rPr>
        <w:t xml:space="preserve"> </w:t>
      </w:r>
      <w:r>
        <w:t>на</w:t>
      </w:r>
      <w:r>
        <w:rPr>
          <w:spacing w:val="82"/>
        </w:rPr>
        <w:t xml:space="preserve"> </w:t>
      </w:r>
      <w:r>
        <w:t>2023</w:t>
      </w:r>
      <w:r>
        <w:rPr>
          <w:spacing w:val="85"/>
        </w:rPr>
        <w:t xml:space="preserve"> </w:t>
      </w:r>
      <w:r>
        <w:t>рік</w:t>
      </w:r>
      <w:r>
        <w:rPr>
          <w:spacing w:val="89"/>
        </w:rPr>
        <w:t xml:space="preserve"> </w:t>
      </w:r>
      <w:r>
        <w:t>–</w:t>
      </w:r>
      <w:r>
        <w:rPr>
          <w:spacing w:val="85"/>
        </w:rPr>
        <w:t xml:space="preserve"> </w:t>
      </w:r>
      <w:r>
        <w:rPr>
          <w:spacing w:val="85"/>
          <w:lang w:val="uk-UA"/>
        </w:rPr>
        <w:t>2910,5тис.</w:t>
      </w:r>
      <w:r>
        <w:t>грн,</w:t>
      </w:r>
      <w:r>
        <w:rPr>
          <w:spacing w:val="83"/>
        </w:rPr>
        <w:t xml:space="preserve"> </w:t>
      </w:r>
      <w:r>
        <w:t>що</w:t>
      </w:r>
      <w:r>
        <w:rPr>
          <w:spacing w:val="83"/>
        </w:rPr>
        <w:t xml:space="preserve"> </w:t>
      </w:r>
      <w:r>
        <w:t>на</w:t>
      </w:r>
      <w:r>
        <w:rPr>
          <w:lang w:val="uk-UA"/>
        </w:rPr>
        <w:t xml:space="preserve"> 242,2тис.грн.,</w:t>
      </w:r>
      <w:r>
        <w:t xml:space="preserve"> або </w:t>
      </w:r>
      <w:r>
        <w:rPr>
          <w:lang w:val="uk-UA"/>
        </w:rPr>
        <w:t>9,1</w:t>
      </w:r>
      <w:r>
        <w:t xml:space="preserve"> %</w:t>
      </w:r>
      <w:r>
        <w:rPr>
          <w:spacing w:val="-2"/>
        </w:rPr>
        <w:t xml:space="preserve"> </w:t>
      </w:r>
      <w:r>
        <w:t>більше, ніж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2022 році</w:t>
      </w:r>
      <w:r>
        <w:rPr>
          <w:lang w:val="uk-UA"/>
        </w:rPr>
        <w:t xml:space="preserve">, </w:t>
      </w:r>
      <w:r>
        <w:t>на</w:t>
      </w:r>
      <w:r>
        <w:rPr>
          <w:spacing w:val="1"/>
        </w:rPr>
        <w:t xml:space="preserve"> </w:t>
      </w:r>
      <w:r>
        <w:t>202</w:t>
      </w:r>
      <w:r>
        <w:rPr>
          <w:lang w:val="uk-UA"/>
        </w:rPr>
        <w:t>4</w:t>
      </w:r>
      <w:r>
        <w:rPr>
          <w:spacing w:val="3"/>
          <w:lang w:val="uk-UA"/>
        </w:rPr>
        <w:t xml:space="preserve"> </w:t>
      </w:r>
      <w:r>
        <w:t>рік</w:t>
      </w:r>
      <w:r>
        <w:rPr>
          <w:spacing w:val="3"/>
        </w:rPr>
        <w:t xml:space="preserve"> </w:t>
      </w:r>
      <w:r>
        <w:t>складе</w:t>
      </w:r>
      <w:r>
        <w:rPr>
          <w:lang w:val="uk-UA"/>
        </w:rPr>
        <w:t xml:space="preserve"> 3174,1тис.грн., що на 263,6тис.грн., або на 9,1% більше ніж у 2023році. </w:t>
      </w:r>
    </w:p>
    <w:p w:rsidR="00944EB4" w:rsidRDefault="00944EB4" w:rsidP="009455E3">
      <w:pPr>
        <w:pStyle w:val="ab"/>
        <w:jc w:val="both"/>
        <w:rPr>
          <w:b/>
          <w:u w:val="single"/>
          <w:lang w:val="uk-UA"/>
        </w:rPr>
      </w:pPr>
    </w:p>
    <w:p w:rsidR="009455E3" w:rsidRDefault="009455E3" w:rsidP="009455E3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Податок на майно (Плата за землю)</w:t>
      </w:r>
    </w:p>
    <w:p w:rsidR="009455E3" w:rsidRDefault="009455E3" w:rsidP="009455E3">
      <w:pPr>
        <w:jc w:val="both"/>
        <w:rPr>
          <w:sz w:val="24"/>
          <w:szCs w:val="24"/>
          <w:lang w:val="uk-UA"/>
        </w:rPr>
      </w:pPr>
    </w:p>
    <w:p w:rsidR="009455E3" w:rsidRDefault="009455E3" w:rsidP="009455E3">
      <w:pPr>
        <w:pStyle w:val="ab"/>
        <w:ind w:hanging="90"/>
        <w:jc w:val="both"/>
        <w:rPr>
          <w:lang w:val="uk-UA"/>
        </w:rPr>
      </w:pPr>
      <w:r>
        <w:rPr>
          <w:lang w:val="uk-UA"/>
        </w:rPr>
        <w:t xml:space="preserve">                П</w:t>
      </w:r>
      <w:r>
        <w:t>рогнозна</w:t>
      </w:r>
      <w:r>
        <w:rPr>
          <w:spacing w:val="1"/>
        </w:rPr>
        <w:t xml:space="preserve"> </w:t>
      </w:r>
      <w:r>
        <w:t>сума</w:t>
      </w:r>
      <w:r>
        <w:rPr>
          <w:lang w:val="uk-UA"/>
        </w:rPr>
        <w:t xml:space="preserve"> плати за землю </w:t>
      </w:r>
      <w:r>
        <w:rPr>
          <w:spacing w:val="2"/>
          <w:lang w:val="uk-UA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2022</w:t>
      </w:r>
      <w:r>
        <w:rPr>
          <w:spacing w:val="3"/>
        </w:rPr>
        <w:t xml:space="preserve"> </w:t>
      </w:r>
      <w:r>
        <w:t>рік</w:t>
      </w:r>
      <w:r>
        <w:rPr>
          <w:spacing w:val="3"/>
        </w:rPr>
        <w:t xml:space="preserve"> </w:t>
      </w:r>
      <w:r>
        <w:t>складе</w:t>
      </w:r>
      <w:r>
        <w:rPr>
          <w:spacing w:val="7"/>
        </w:rPr>
        <w:t xml:space="preserve"> </w:t>
      </w:r>
      <w:r>
        <w:rPr>
          <w:spacing w:val="7"/>
          <w:lang w:val="uk-UA"/>
        </w:rPr>
        <w:t>46379,3тис.</w:t>
      </w:r>
      <w:r>
        <w:rPr>
          <w:spacing w:val="4"/>
          <w:lang w:val="uk-UA"/>
        </w:rPr>
        <w:t xml:space="preserve"> </w:t>
      </w:r>
      <w:r>
        <w:t>грн, що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rPr>
          <w:spacing w:val="3"/>
          <w:lang w:val="uk-UA"/>
        </w:rPr>
        <w:t>609,4тис.грн. або на 1,3% більше ніж у запланованих призначеннях 2021року</w:t>
      </w:r>
      <w:r>
        <w:t>,</w:t>
      </w:r>
      <w:r>
        <w:rPr>
          <w:spacing w:val="83"/>
        </w:rPr>
        <w:t xml:space="preserve"> </w:t>
      </w:r>
      <w:r>
        <w:t>на</w:t>
      </w:r>
      <w:r>
        <w:rPr>
          <w:spacing w:val="82"/>
        </w:rPr>
        <w:t xml:space="preserve"> </w:t>
      </w:r>
      <w:r>
        <w:t>2023</w:t>
      </w:r>
      <w:r>
        <w:rPr>
          <w:spacing w:val="85"/>
        </w:rPr>
        <w:t xml:space="preserve"> </w:t>
      </w:r>
      <w:r>
        <w:t>рік</w:t>
      </w:r>
      <w:r>
        <w:rPr>
          <w:spacing w:val="89"/>
        </w:rPr>
        <w:t xml:space="preserve"> </w:t>
      </w:r>
      <w:r>
        <w:t>–</w:t>
      </w:r>
      <w:r>
        <w:rPr>
          <w:spacing w:val="85"/>
        </w:rPr>
        <w:t xml:space="preserve"> </w:t>
      </w:r>
      <w:r>
        <w:rPr>
          <w:spacing w:val="85"/>
          <w:lang w:val="uk-UA"/>
        </w:rPr>
        <w:t>47306,9тис.</w:t>
      </w:r>
      <w:r>
        <w:t>грн,</w:t>
      </w:r>
      <w:r>
        <w:rPr>
          <w:spacing w:val="83"/>
        </w:rPr>
        <w:t xml:space="preserve"> </w:t>
      </w:r>
      <w:r>
        <w:t>що</w:t>
      </w:r>
      <w:r>
        <w:rPr>
          <w:spacing w:val="83"/>
        </w:rPr>
        <w:t xml:space="preserve"> </w:t>
      </w:r>
      <w:r>
        <w:t>на</w:t>
      </w:r>
      <w:r>
        <w:rPr>
          <w:lang w:val="uk-UA"/>
        </w:rPr>
        <w:t xml:space="preserve"> 927,6тис.грн.,</w:t>
      </w:r>
      <w:r>
        <w:t xml:space="preserve"> або</w:t>
      </w:r>
      <w:r>
        <w:rPr>
          <w:lang w:val="uk-UA"/>
        </w:rPr>
        <w:t xml:space="preserve"> на  2,0</w:t>
      </w:r>
      <w:r>
        <w:t xml:space="preserve"> %</w:t>
      </w:r>
      <w:r>
        <w:rPr>
          <w:spacing w:val="-2"/>
        </w:rPr>
        <w:t xml:space="preserve"> </w:t>
      </w:r>
      <w:r>
        <w:t>більше, ніж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2022 році</w:t>
      </w:r>
      <w:r>
        <w:rPr>
          <w:lang w:val="uk-UA"/>
        </w:rPr>
        <w:t xml:space="preserve">, </w:t>
      </w:r>
      <w:r>
        <w:t>на</w:t>
      </w:r>
      <w:r>
        <w:rPr>
          <w:spacing w:val="1"/>
        </w:rPr>
        <w:t xml:space="preserve"> </w:t>
      </w:r>
      <w:r>
        <w:t>202</w:t>
      </w:r>
      <w:r>
        <w:rPr>
          <w:lang w:val="uk-UA"/>
        </w:rPr>
        <w:t>4</w:t>
      </w:r>
      <w:r>
        <w:rPr>
          <w:spacing w:val="3"/>
          <w:lang w:val="uk-UA"/>
        </w:rPr>
        <w:t xml:space="preserve"> </w:t>
      </w:r>
      <w:r>
        <w:t>рік</w:t>
      </w:r>
      <w:r>
        <w:rPr>
          <w:spacing w:val="3"/>
        </w:rPr>
        <w:t xml:space="preserve"> </w:t>
      </w:r>
      <w:r>
        <w:t>складе</w:t>
      </w:r>
      <w:r>
        <w:rPr>
          <w:lang w:val="uk-UA"/>
        </w:rPr>
        <w:t xml:space="preserve"> 48253,0тис.грн., що на 946,1тис.грн., або на 2,0% більше ніж у 2023році. </w:t>
      </w:r>
    </w:p>
    <w:p w:rsidR="00944EB4" w:rsidRDefault="00944EB4" w:rsidP="009455E3">
      <w:pPr>
        <w:pStyle w:val="ab"/>
        <w:ind w:hanging="90"/>
        <w:jc w:val="both"/>
        <w:rPr>
          <w:lang w:val="uk-UA"/>
        </w:rPr>
      </w:pPr>
    </w:p>
    <w:p w:rsidR="009455E3" w:rsidRDefault="00944EB4" w:rsidP="00944EB4">
      <w:pPr>
        <w:pStyle w:val="ab"/>
        <w:ind w:hanging="90"/>
        <w:jc w:val="both"/>
        <w:rPr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Податок на майно </w:t>
      </w:r>
      <w:r w:rsidR="009455E3">
        <w:rPr>
          <w:b/>
          <w:sz w:val="28"/>
          <w:szCs w:val="28"/>
          <w:u w:val="single"/>
          <w:lang w:val="uk-UA"/>
        </w:rPr>
        <w:t>Транспортний податок</w:t>
      </w:r>
      <w:r w:rsidR="009455E3">
        <w:rPr>
          <w:lang w:val="uk-UA"/>
        </w:rPr>
        <w:t xml:space="preserve"> заплановано на 2022-2024роки у сумі 60,0тис.грн. щороку.</w:t>
      </w:r>
    </w:p>
    <w:p w:rsidR="009455E3" w:rsidRDefault="009455E3" w:rsidP="009455E3">
      <w:pPr>
        <w:jc w:val="both"/>
        <w:rPr>
          <w:lang w:val="uk-UA"/>
        </w:rPr>
      </w:pPr>
    </w:p>
    <w:p w:rsidR="00036190" w:rsidRDefault="00036190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</w:p>
    <w:p w:rsidR="00036190" w:rsidRDefault="00036190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</w:p>
    <w:p w:rsidR="009455E3" w:rsidRDefault="009455E3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Єдиний податок </w:t>
      </w:r>
    </w:p>
    <w:p w:rsidR="009455E3" w:rsidRDefault="009455E3" w:rsidP="009455E3">
      <w:pPr>
        <w:jc w:val="both"/>
        <w:rPr>
          <w:sz w:val="24"/>
          <w:szCs w:val="24"/>
          <w:lang w:val="uk-UA"/>
        </w:rPr>
      </w:pPr>
      <w:r>
        <w:rPr>
          <w:lang w:val="uk-UA"/>
        </w:rPr>
        <w:t>Прогнозна сума єдиного податку на 2022рік становить 29529,5тис.грн. і збільшується порівняно із  2021роком на 1088,5тис.грн. або на 3,8%, на 2023рік сума становить 30957,1тис.грн. що на 1427,6тис.грн. або на 4,8%більше ніж у 2022році, на 2024рік – 32049,5тис.грн., що на 1092,4тис.грн. або на 3,5% більше ніж у 2023році.</w:t>
      </w:r>
    </w:p>
    <w:p w:rsidR="009455E3" w:rsidRDefault="009455E3" w:rsidP="009455E3">
      <w:pPr>
        <w:jc w:val="both"/>
        <w:rPr>
          <w:lang w:val="uk-UA"/>
        </w:rPr>
      </w:pPr>
      <w:r>
        <w:rPr>
          <w:lang w:val="uk-UA"/>
        </w:rPr>
        <w:t>На збільшення надходжень єдиного податку у 2021році має вплив зростання :</w:t>
      </w:r>
    </w:p>
    <w:p w:rsidR="009455E3" w:rsidRDefault="009455E3" w:rsidP="009455E3">
      <w:pPr>
        <w:numPr>
          <w:ilvl w:val="0"/>
          <w:numId w:val="6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прожиткового мінімуму для працездатних осіб  для платників </w:t>
      </w:r>
      <w:r>
        <w:rPr>
          <w:lang w:val="en-US"/>
        </w:rPr>
        <w:t>I</w:t>
      </w:r>
      <w:r>
        <w:rPr>
          <w:lang w:val="uk-UA"/>
        </w:rPr>
        <w:t xml:space="preserve"> групи (питома вага в загальній кількості платників фізичних осіб 25,4% );</w:t>
      </w:r>
    </w:p>
    <w:p w:rsidR="009455E3" w:rsidRDefault="009455E3" w:rsidP="009455E3">
      <w:pPr>
        <w:numPr>
          <w:ilvl w:val="0"/>
          <w:numId w:val="6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мінімальної заробітної плати  (для платників </w:t>
      </w:r>
      <w:r>
        <w:rPr>
          <w:lang w:val="en-US"/>
        </w:rPr>
        <w:t>II</w:t>
      </w:r>
      <w:r>
        <w:rPr>
          <w:lang w:val="uk-UA"/>
        </w:rPr>
        <w:t xml:space="preserve"> другої групи 43,3%);</w:t>
      </w:r>
    </w:p>
    <w:p w:rsidR="009455E3" w:rsidRPr="00036190" w:rsidRDefault="009455E3" w:rsidP="00944EB4">
      <w:pPr>
        <w:numPr>
          <w:ilvl w:val="0"/>
          <w:numId w:val="6"/>
        </w:numPr>
        <w:spacing w:after="0" w:line="240" w:lineRule="auto"/>
        <w:jc w:val="both"/>
        <w:rPr>
          <w:b/>
          <w:sz w:val="28"/>
          <w:szCs w:val="28"/>
          <w:u w:val="single"/>
          <w:lang w:val="uk-UA"/>
        </w:rPr>
      </w:pPr>
      <w:r w:rsidRPr="00036190">
        <w:rPr>
          <w:lang w:val="uk-UA"/>
        </w:rPr>
        <w:t xml:space="preserve"> індексу споживчих цін (для платників </w:t>
      </w:r>
      <w:r w:rsidRPr="00036190">
        <w:rPr>
          <w:lang w:val="en-US"/>
        </w:rPr>
        <w:t>III</w:t>
      </w:r>
      <w:r w:rsidRPr="00036190">
        <w:rPr>
          <w:lang w:val="uk-UA"/>
        </w:rPr>
        <w:t xml:space="preserve"> групи 31,3%) та юридичних осіб.</w:t>
      </w:r>
    </w:p>
    <w:p w:rsidR="00036190" w:rsidRPr="00036190" w:rsidRDefault="00036190" w:rsidP="00944EB4">
      <w:pPr>
        <w:numPr>
          <w:ilvl w:val="0"/>
          <w:numId w:val="6"/>
        </w:numPr>
        <w:spacing w:after="0" w:line="240" w:lineRule="auto"/>
        <w:jc w:val="both"/>
        <w:rPr>
          <w:b/>
          <w:sz w:val="28"/>
          <w:szCs w:val="28"/>
          <w:u w:val="single"/>
          <w:lang w:val="uk-UA"/>
        </w:rPr>
      </w:pPr>
    </w:p>
    <w:p w:rsidR="009455E3" w:rsidRDefault="009455E3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Неподаткові надходження</w:t>
      </w:r>
    </w:p>
    <w:p w:rsidR="009455E3" w:rsidRDefault="009455E3" w:rsidP="009455E3">
      <w:pPr>
        <w:ind w:left="720"/>
        <w:jc w:val="both"/>
        <w:rPr>
          <w:sz w:val="24"/>
          <w:szCs w:val="24"/>
          <w:lang w:val="uk-UA"/>
        </w:rPr>
      </w:pPr>
      <w:r>
        <w:rPr>
          <w:lang w:val="uk-UA"/>
        </w:rPr>
        <w:t>До складу неподаткових надходжень в бюджеті Саф</w:t>
      </w:r>
      <w:r>
        <w:t>’</w:t>
      </w:r>
      <w:r>
        <w:rPr>
          <w:lang w:val="uk-UA"/>
        </w:rPr>
        <w:t>янівської сільської громади надходять:</w:t>
      </w:r>
    </w:p>
    <w:p w:rsidR="009455E3" w:rsidRDefault="009455E3" w:rsidP="009455E3">
      <w:pPr>
        <w:numPr>
          <w:ilvl w:val="0"/>
          <w:numId w:val="7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Інші надходження у вигляді адміністративних штрафів.</w:t>
      </w:r>
    </w:p>
    <w:p w:rsidR="009455E3" w:rsidRDefault="009455E3" w:rsidP="009455E3">
      <w:pPr>
        <w:numPr>
          <w:ilvl w:val="0"/>
          <w:numId w:val="7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Плата за надання адміністративних послуг.</w:t>
      </w:r>
    </w:p>
    <w:p w:rsidR="009455E3" w:rsidRDefault="009455E3" w:rsidP="009455E3">
      <w:pPr>
        <w:numPr>
          <w:ilvl w:val="0"/>
          <w:numId w:val="7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Надходження від орендної плати за користування майном, що перебуває в комунальній власності.</w:t>
      </w:r>
    </w:p>
    <w:p w:rsidR="009455E3" w:rsidRDefault="009455E3" w:rsidP="009455E3">
      <w:pPr>
        <w:numPr>
          <w:ilvl w:val="0"/>
          <w:numId w:val="7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Державне мито</w:t>
      </w:r>
    </w:p>
    <w:p w:rsidR="009455E3" w:rsidRDefault="009455E3" w:rsidP="009455E3">
      <w:pPr>
        <w:ind w:left="720"/>
        <w:jc w:val="both"/>
        <w:rPr>
          <w:lang w:val="uk-UA"/>
        </w:rPr>
      </w:pPr>
    </w:p>
    <w:p w:rsidR="009455E3" w:rsidRDefault="009455E3" w:rsidP="009455E3">
      <w:pPr>
        <w:ind w:left="720"/>
        <w:jc w:val="both"/>
        <w:rPr>
          <w:lang w:val="uk-UA"/>
        </w:rPr>
      </w:pPr>
      <w:r>
        <w:rPr>
          <w:lang w:val="uk-UA"/>
        </w:rPr>
        <w:t>Загалом неподаткові надходження на 2022рік заплановані в сумі 1143,7тис.грн., що на 155,6тис.грн. або на 15,7% більше ніж у призначеннях 2021року, на 2023рік сума складає 1180,1тис.грн., що на 36,4тис.грн. або на 3,2% більше ніж у 2022році, на 2024рік – 1218,1тис.грн., що на 38,0тис.грн. або на 3,2% більше прогнозних надходжень 2023року.</w:t>
      </w:r>
    </w:p>
    <w:p w:rsidR="009455E3" w:rsidRDefault="009455E3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Питома вага джерел надходжень загального фонду бюджету.</w:t>
      </w:r>
    </w:p>
    <w:p w:rsidR="005B4FE0" w:rsidRDefault="005B4FE0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</w:p>
    <w:p w:rsidR="009455E3" w:rsidRDefault="009455E3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3018155"/>
            <wp:effectExtent l="0" t="0" r="3175" b="1079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55E3" w:rsidRDefault="009455E3" w:rsidP="009455E3">
      <w:pPr>
        <w:ind w:left="720"/>
        <w:jc w:val="both"/>
        <w:rPr>
          <w:b/>
          <w:sz w:val="28"/>
          <w:szCs w:val="28"/>
          <w:u w:val="single"/>
          <w:lang w:val="uk-UA"/>
        </w:rPr>
      </w:pPr>
    </w:p>
    <w:p w:rsidR="009455E3" w:rsidRDefault="009455E3" w:rsidP="009455E3">
      <w:pPr>
        <w:jc w:val="both"/>
        <w:rPr>
          <w:b/>
          <w:sz w:val="24"/>
          <w:szCs w:val="24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Спеціальний фонд</w:t>
      </w:r>
    </w:p>
    <w:p w:rsidR="009455E3" w:rsidRDefault="009455E3" w:rsidP="009455E3">
      <w:pPr>
        <w:jc w:val="both"/>
        <w:rPr>
          <w:b/>
          <w:u w:val="single"/>
          <w:lang w:val="uk-UA"/>
        </w:rPr>
      </w:pPr>
    </w:p>
    <w:p w:rsidR="009455E3" w:rsidRDefault="009455E3" w:rsidP="009455E3">
      <w:pPr>
        <w:jc w:val="both"/>
        <w:rPr>
          <w:b/>
          <w:u w:val="single"/>
          <w:lang w:val="uk-UA"/>
        </w:rPr>
      </w:pPr>
      <w:r>
        <w:rPr>
          <w:lang w:val="uk-UA"/>
        </w:rPr>
        <w:t xml:space="preserve">            По спеціальному фонду  бюджету Саф’янівської сільської ради прогнозний обсяг 2022року склав 6171,6тис.грн., що на 349,4тис.грн. більше або на 6% більше запланованих надходжень 2021року, на 2023рік 6537,1тис.грн, збільшення на 365,5тис.грн. або на 5,9% та на 2024рік 6922,7тис.грн., що на 385,6тис.грн. або на 5,9% більше прогнозного показника 2023року.</w:t>
      </w:r>
      <w:r>
        <w:rPr>
          <w:b/>
          <w:u w:val="single"/>
          <w:lang w:val="uk-UA"/>
        </w:rPr>
        <w:t xml:space="preserve"> </w:t>
      </w:r>
    </w:p>
    <w:p w:rsidR="009455E3" w:rsidRDefault="009455E3" w:rsidP="009455E3">
      <w:pPr>
        <w:jc w:val="both"/>
        <w:rPr>
          <w:b/>
          <w:u w:val="single"/>
          <w:lang w:val="uk-UA"/>
        </w:rPr>
      </w:pPr>
    </w:p>
    <w:p w:rsidR="009455E3" w:rsidRDefault="009455E3" w:rsidP="009455E3">
      <w:pPr>
        <w:jc w:val="both"/>
        <w:rPr>
          <w:lang w:val="uk-UA"/>
        </w:rPr>
      </w:pPr>
      <w:r>
        <w:rPr>
          <w:lang w:val="uk-UA"/>
        </w:rPr>
        <w:t>Основні джерела спеціального фонду – власні надходження бюджетних установ та екологічний податок.</w:t>
      </w:r>
    </w:p>
    <w:p w:rsidR="009455E3" w:rsidRDefault="009455E3" w:rsidP="009455E3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Екологічний податок</w:t>
      </w:r>
    </w:p>
    <w:p w:rsidR="009455E3" w:rsidRDefault="009455E3" w:rsidP="009455E3">
      <w:pPr>
        <w:jc w:val="both"/>
        <w:rPr>
          <w:b/>
          <w:sz w:val="28"/>
          <w:szCs w:val="28"/>
          <w:u w:val="single"/>
          <w:lang w:val="uk-UA"/>
        </w:rPr>
      </w:pPr>
    </w:p>
    <w:p w:rsidR="009455E3" w:rsidRDefault="009455E3" w:rsidP="009455E3">
      <w:pPr>
        <w:pStyle w:val="ab"/>
        <w:spacing w:before="1"/>
        <w:ind w:right="407"/>
        <w:jc w:val="both"/>
      </w:pPr>
      <w:r>
        <w:rPr>
          <w:lang w:val="uk-UA"/>
        </w:rPr>
        <w:t xml:space="preserve">        Основні платники екологічного податку розташовані на території с. Стара Некрасівка (ТОВ «Некрасівський полігон», ТОВ Комунтранс», ПРАТ «ІЦКК»). </w:t>
      </w:r>
      <w:r>
        <w:t>В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екологічного</w:t>
      </w:r>
      <w:r>
        <w:rPr>
          <w:spacing w:val="1"/>
        </w:rPr>
        <w:t xml:space="preserve"> </w:t>
      </w:r>
      <w:r>
        <w:t>податку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2022-2023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враховано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оподаткування, порядок обчислення, строки подання податкової декларації та терміни</w:t>
      </w:r>
      <w:r>
        <w:rPr>
          <w:spacing w:val="1"/>
        </w:rPr>
        <w:t xml:space="preserve"> </w:t>
      </w:r>
      <w:r>
        <w:t>сплати</w:t>
      </w:r>
      <w:r>
        <w:rPr>
          <w:spacing w:val="-1"/>
        </w:rPr>
        <w:t xml:space="preserve"> </w:t>
      </w:r>
      <w:r>
        <w:t>податку.</w:t>
      </w:r>
    </w:p>
    <w:p w:rsidR="009455E3" w:rsidRDefault="009455E3" w:rsidP="009455E3">
      <w:pPr>
        <w:pStyle w:val="ab"/>
        <w:ind w:right="404" w:firstLine="779"/>
        <w:jc w:val="both"/>
        <w:rPr>
          <w:lang w:val="uk-UA"/>
        </w:rPr>
      </w:pPr>
      <w:r>
        <w:t xml:space="preserve">Обсяг прогнозної суми екологічного податку на 2022 рік складе – </w:t>
      </w:r>
      <w:r>
        <w:rPr>
          <w:lang w:val="uk-UA"/>
        </w:rPr>
        <w:t>175,4тис.грн.</w:t>
      </w:r>
      <w:r>
        <w:rPr>
          <w:spacing w:val="1"/>
          <w:lang w:val="uk-UA"/>
        </w:rPr>
        <w:t xml:space="preserve"> </w:t>
      </w:r>
      <w:r>
        <w:t xml:space="preserve">що на </w:t>
      </w:r>
      <w:r>
        <w:rPr>
          <w:lang w:val="uk-UA"/>
        </w:rPr>
        <w:t>5,1тис.грн. більше</w:t>
      </w:r>
      <w:r>
        <w:t xml:space="preserve"> ніж у 2021 році, на 2023 рік – </w:t>
      </w:r>
      <w:r>
        <w:rPr>
          <w:lang w:val="uk-UA"/>
        </w:rPr>
        <w:t>180,7тис.</w:t>
      </w:r>
      <w:r>
        <w:t xml:space="preserve"> грн, що на </w:t>
      </w:r>
      <w:r>
        <w:rPr>
          <w:lang w:val="uk-UA"/>
        </w:rPr>
        <w:t xml:space="preserve">5,3тис.грн. </w:t>
      </w:r>
      <w:r>
        <w:rPr>
          <w:spacing w:val="1"/>
          <w:lang w:val="uk-UA"/>
        </w:rPr>
        <w:t xml:space="preserve"> </w:t>
      </w:r>
      <w:r>
        <w:t>більше</w:t>
      </w:r>
      <w:r>
        <w:rPr>
          <w:spacing w:val="-1"/>
        </w:rPr>
        <w:t xml:space="preserve"> </w:t>
      </w:r>
      <w:r>
        <w:t>ніж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2022 році</w:t>
      </w:r>
      <w:r>
        <w:rPr>
          <w:lang w:val="uk-UA"/>
        </w:rPr>
        <w:t>, на 2024рік -186,1тис.грн., що на 5,4тис.грн.більше пргнозу на 2023рік.</w:t>
      </w:r>
    </w:p>
    <w:p w:rsidR="009455E3" w:rsidRDefault="009455E3" w:rsidP="009455E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 надходження бюджетних установ</w:t>
      </w:r>
    </w:p>
    <w:p w:rsidR="009455E3" w:rsidRDefault="009455E3" w:rsidP="009455E3">
      <w:pPr>
        <w:jc w:val="both"/>
        <w:rPr>
          <w:sz w:val="24"/>
          <w:szCs w:val="24"/>
          <w:lang w:val="uk-UA"/>
        </w:rPr>
      </w:pPr>
      <w:r>
        <w:rPr>
          <w:lang w:val="uk-UA"/>
        </w:rPr>
        <w:tab/>
        <w:t xml:space="preserve">В склад власних надходжень спеціального фонду бюджету входять </w:t>
      </w:r>
      <w:r>
        <w:rPr>
          <w:i/>
          <w:lang w:val="uk-UA"/>
        </w:rPr>
        <w:t>власні надходження бюджетних установ,</w:t>
      </w:r>
      <w:r>
        <w:rPr>
          <w:lang w:val="uk-UA"/>
        </w:rPr>
        <w:t xml:space="preserve"> які утримуються за рахунок  бюджету Саф’янівської сільської ради.            </w:t>
      </w:r>
    </w:p>
    <w:p w:rsidR="009455E3" w:rsidRDefault="009455E3" w:rsidP="009455E3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  <w:t>Прогнозний обсяг надходжень  власних надходжень бюджетних установ на 2022 рік – 5991,0тис.грн.,  на 2023рік – 6351,0тис.грн., на 2024рік – 6731,0тис</w:t>
      </w:r>
    </w:p>
    <w:p w:rsidR="008621DF" w:rsidRDefault="008621DF" w:rsidP="008621DF">
      <w:pPr>
        <w:tabs>
          <w:tab w:val="left" w:pos="394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1C9">
        <w:rPr>
          <w:rFonts w:ascii="Times New Roman" w:hAnsi="Times New Roman" w:cs="Times New Roman"/>
          <w:b/>
          <w:sz w:val="28"/>
          <w:szCs w:val="28"/>
          <w:lang w:val="uk-UA"/>
        </w:rPr>
        <w:t>V. Показники фінансування бюджету, показники місцевого боргу, гарантованого Автономною Республікою Крим, обласною радою чи територіальною громадою міста боргу та надання місцевих гарантій.</w:t>
      </w:r>
    </w:p>
    <w:p w:rsidR="00CE229E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додатках наведені дані, які заплановані в 2021році.</w:t>
      </w: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36190" w:rsidRPr="00036190" w:rsidRDefault="00036190" w:rsidP="00281AEF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671E3" w:rsidRDefault="00D671E3" w:rsidP="00D671E3">
      <w:pPr>
        <w:tabs>
          <w:tab w:val="left" w:pos="394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1C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VI. Показники видатків бюджету та надання кредитів з бюджету.</w:t>
      </w:r>
    </w:p>
    <w:p w:rsidR="005D7490" w:rsidRDefault="005D7490" w:rsidP="00940E8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105" w:rsidRDefault="00BA0105" w:rsidP="00940E8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B07D79" wp14:editId="14CA4E3F">
            <wp:extent cx="5486400" cy="56388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64C1" w:rsidRDefault="000864C1" w:rsidP="00BA0105">
      <w:pPr>
        <w:tabs>
          <w:tab w:val="left" w:pos="394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27EA" w:rsidRDefault="005127EA" w:rsidP="00773717">
      <w:pPr>
        <w:jc w:val="both"/>
        <w:rPr>
          <w:sz w:val="24"/>
          <w:szCs w:val="24"/>
          <w:lang w:val="uk-UA"/>
        </w:rPr>
      </w:pPr>
      <w:r w:rsidRPr="00CF2AFE">
        <w:rPr>
          <w:sz w:val="24"/>
          <w:szCs w:val="24"/>
          <w:lang w:val="uk-UA"/>
        </w:rPr>
        <w:t xml:space="preserve">      Відповідно до статті 6 Закону України «Про державні соціальні стандарти та державні соціальні гарантії» базовим державним соціальним стандартом є прожитковий мінімум, встановлений законом , на основі якого визначаються державні соціальні гарантії та стандарти у сфері доходів населення, житлово-комунального, побутового, соціально-культурного обслуговування охорони здоров’я та освіти. </w:t>
      </w:r>
    </w:p>
    <w:p w:rsidR="00036190" w:rsidRDefault="00036190" w:rsidP="00773717">
      <w:pPr>
        <w:jc w:val="both"/>
        <w:rPr>
          <w:sz w:val="24"/>
          <w:szCs w:val="24"/>
          <w:lang w:val="uk-UA"/>
        </w:rPr>
      </w:pPr>
    </w:p>
    <w:p w:rsidR="00036190" w:rsidRDefault="00036190" w:rsidP="00773717">
      <w:pPr>
        <w:jc w:val="both"/>
        <w:rPr>
          <w:sz w:val="24"/>
          <w:szCs w:val="24"/>
          <w:lang w:val="uk-UA"/>
        </w:rPr>
      </w:pPr>
    </w:p>
    <w:p w:rsidR="00036190" w:rsidRDefault="00036190" w:rsidP="00773717">
      <w:pPr>
        <w:jc w:val="both"/>
        <w:rPr>
          <w:sz w:val="24"/>
          <w:szCs w:val="24"/>
          <w:lang w:val="uk-UA"/>
        </w:rPr>
      </w:pPr>
    </w:p>
    <w:p w:rsidR="00036190" w:rsidRPr="00CF2AFE" w:rsidRDefault="00036190" w:rsidP="00773717">
      <w:pPr>
        <w:jc w:val="both"/>
        <w:rPr>
          <w:sz w:val="24"/>
          <w:szCs w:val="24"/>
          <w:lang w:val="uk-UA"/>
        </w:rPr>
      </w:pPr>
    </w:p>
    <w:p w:rsidR="005127EA" w:rsidRPr="00CF2AFE" w:rsidRDefault="005127EA" w:rsidP="005127EA">
      <w:pPr>
        <w:rPr>
          <w:sz w:val="24"/>
          <w:szCs w:val="24"/>
          <w:lang w:val="uk-UA"/>
        </w:rPr>
      </w:pPr>
      <w:r w:rsidRPr="00CF2AFE">
        <w:rPr>
          <w:sz w:val="24"/>
          <w:szCs w:val="24"/>
          <w:lang w:val="uk-UA"/>
        </w:rPr>
        <w:lastRenderedPageBreak/>
        <w:t xml:space="preserve">      Прогнозний прожитковий мінімум на 2022-2024 року, врахований у показниках Бюджетної декларації, становить:</w:t>
      </w:r>
    </w:p>
    <w:p w:rsidR="005127EA" w:rsidRPr="00CF2AFE" w:rsidRDefault="005127EA" w:rsidP="005127EA">
      <w:pPr>
        <w:rPr>
          <w:sz w:val="24"/>
          <w:szCs w:val="24"/>
          <w:lang w:val="uk-UA"/>
        </w:rPr>
      </w:pPr>
      <w:r w:rsidRPr="00CF2AFE">
        <w:rPr>
          <w:sz w:val="24"/>
          <w:szCs w:val="24"/>
          <w:lang w:val="uk-UA"/>
        </w:rPr>
        <w:t xml:space="preserve">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66"/>
        <w:gridCol w:w="848"/>
        <w:gridCol w:w="894"/>
        <w:gridCol w:w="924"/>
        <w:gridCol w:w="849"/>
        <w:gridCol w:w="894"/>
        <w:gridCol w:w="925"/>
        <w:gridCol w:w="850"/>
        <w:gridCol w:w="894"/>
        <w:gridCol w:w="925"/>
      </w:tblGrid>
      <w:tr w:rsidR="005127EA" w:rsidRPr="00CF2AFE" w:rsidTr="00944EB4">
        <w:tc>
          <w:tcPr>
            <w:tcW w:w="934" w:type="dxa"/>
            <w:vMerge w:val="restart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02" w:type="dxa"/>
            <w:gridSpan w:val="3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804" w:type="dxa"/>
            <w:gridSpan w:val="3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2805" w:type="dxa"/>
            <w:gridSpan w:val="3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2024 рік</w:t>
            </w:r>
          </w:p>
        </w:tc>
      </w:tr>
      <w:tr w:rsidR="005127EA" w:rsidRPr="00CF2AFE" w:rsidTr="00944EB4">
        <w:tc>
          <w:tcPr>
            <w:tcW w:w="934" w:type="dxa"/>
            <w:vMerge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січня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липня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грудня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січня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липня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грудня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січня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липня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 грудня</w:t>
            </w:r>
          </w:p>
        </w:tc>
      </w:tr>
      <w:tr w:rsidR="005127EA" w:rsidRPr="00CF2AFE" w:rsidTr="00944EB4">
        <w:tc>
          <w:tcPr>
            <w:tcW w:w="934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Прожитковий мінімум, грн: на одну особу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2393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2508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2589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2589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2713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2778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2778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2911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2972</w:t>
            </w:r>
          </w:p>
        </w:tc>
      </w:tr>
      <w:tr w:rsidR="005127EA" w:rsidRPr="00CF2AFE" w:rsidTr="00944EB4">
        <w:tc>
          <w:tcPr>
            <w:tcW w:w="934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Для дітей віком до 6 років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2100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2201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2272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2272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2381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2438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2438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2555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2609</w:t>
            </w:r>
          </w:p>
        </w:tc>
      </w:tr>
      <w:tr w:rsidR="005127EA" w:rsidRPr="00CF2AFE" w:rsidTr="00944EB4">
        <w:tc>
          <w:tcPr>
            <w:tcW w:w="934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Для дітей віком від 6 до 18 років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2618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2744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2833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2833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2969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3040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3040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3186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3253</w:t>
            </w:r>
          </w:p>
        </w:tc>
      </w:tr>
      <w:tr w:rsidR="005127EA" w:rsidRPr="00CF2AFE" w:rsidTr="00944EB4">
        <w:tc>
          <w:tcPr>
            <w:tcW w:w="934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Для працездатних осіб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2481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2600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2684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2684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2813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2880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2880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3018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3082</w:t>
            </w:r>
          </w:p>
        </w:tc>
      </w:tr>
      <w:tr w:rsidR="005127EA" w:rsidRPr="00CF2AFE" w:rsidTr="00944EB4">
        <w:tc>
          <w:tcPr>
            <w:tcW w:w="934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Для осіб, які втратили працездатність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1934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2027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2093</w:t>
            </w:r>
          </w:p>
        </w:tc>
        <w:tc>
          <w:tcPr>
            <w:tcW w:w="934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2093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2193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2246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2246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2354</w:t>
            </w:r>
          </w:p>
        </w:tc>
        <w:tc>
          <w:tcPr>
            <w:tcW w:w="935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2403</w:t>
            </w:r>
          </w:p>
        </w:tc>
      </w:tr>
    </w:tbl>
    <w:p w:rsidR="005127EA" w:rsidRPr="00CF2AFE" w:rsidRDefault="005127EA" w:rsidP="005127EA">
      <w:pPr>
        <w:jc w:val="center"/>
        <w:rPr>
          <w:sz w:val="24"/>
          <w:szCs w:val="24"/>
          <w:lang w:val="uk-UA"/>
        </w:rPr>
      </w:pPr>
    </w:p>
    <w:p w:rsidR="005127EA" w:rsidRPr="00CF2AFE" w:rsidRDefault="005127EA" w:rsidP="005127EA">
      <w:pPr>
        <w:rPr>
          <w:sz w:val="24"/>
          <w:szCs w:val="24"/>
          <w:lang w:val="uk-UA"/>
        </w:rPr>
      </w:pPr>
      <w:r w:rsidRPr="00CF2AFE">
        <w:rPr>
          <w:sz w:val="24"/>
          <w:szCs w:val="24"/>
          <w:lang w:val="uk-UA"/>
        </w:rPr>
        <w:t xml:space="preserve">       Під час  формування видаткової частини на 2022-2024 роки буде враховано такі показники: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6"/>
        <w:gridCol w:w="1902"/>
        <w:gridCol w:w="2021"/>
        <w:gridCol w:w="1808"/>
        <w:gridCol w:w="1808"/>
      </w:tblGrid>
      <w:tr w:rsidR="005127EA" w:rsidRPr="00CF2AFE" w:rsidTr="00944EB4">
        <w:tc>
          <w:tcPr>
            <w:tcW w:w="1806" w:type="dxa"/>
            <w:vMerge w:val="restart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23" w:type="dxa"/>
            <w:gridSpan w:val="2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Мінімальна заробітна плата</w:t>
            </w:r>
          </w:p>
        </w:tc>
        <w:tc>
          <w:tcPr>
            <w:tcW w:w="3616" w:type="dxa"/>
            <w:gridSpan w:val="2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Посадовий оклад працівника 1 тарифного розряду Єдиною тарифною сітки</w:t>
            </w:r>
          </w:p>
        </w:tc>
      </w:tr>
      <w:tr w:rsidR="005127EA" w:rsidRPr="00CF2AFE" w:rsidTr="00944EB4">
        <w:tc>
          <w:tcPr>
            <w:tcW w:w="1806" w:type="dxa"/>
            <w:vMerge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02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2021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Темпи приросту %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Темпи приросту %</w:t>
            </w:r>
          </w:p>
        </w:tc>
      </w:tr>
      <w:tr w:rsidR="005127EA" w:rsidRPr="00CF2AFE" w:rsidTr="00944EB4">
        <w:tc>
          <w:tcPr>
            <w:tcW w:w="1806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З 01 січня 2022 року</w:t>
            </w:r>
          </w:p>
        </w:tc>
        <w:tc>
          <w:tcPr>
            <w:tcW w:w="1902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6500</w:t>
            </w:r>
          </w:p>
        </w:tc>
        <w:tc>
          <w:tcPr>
            <w:tcW w:w="2021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2893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127EA" w:rsidRPr="00CF2AFE" w:rsidTr="00944EB4">
        <w:tc>
          <w:tcPr>
            <w:tcW w:w="1806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З 01 жовтня 2022 року</w:t>
            </w:r>
          </w:p>
        </w:tc>
        <w:tc>
          <w:tcPr>
            <w:tcW w:w="1902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6700</w:t>
            </w:r>
          </w:p>
        </w:tc>
        <w:tc>
          <w:tcPr>
            <w:tcW w:w="2021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2982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3.1</w:t>
            </w:r>
          </w:p>
        </w:tc>
      </w:tr>
      <w:tr w:rsidR="005127EA" w:rsidRPr="00CF2AFE" w:rsidTr="00944EB4">
        <w:tc>
          <w:tcPr>
            <w:tcW w:w="1806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З 01 січня 2023 року</w:t>
            </w:r>
          </w:p>
        </w:tc>
        <w:tc>
          <w:tcPr>
            <w:tcW w:w="1902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7176</w:t>
            </w:r>
          </w:p>
        </w:tc>
        <w:tc>
          <w:tcPr>
            <w:tcW w:w="2021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7.1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3193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7.1</w:t>
            </w:r>
          </w:p>
        </w:tc>
      </w:tr>
      <w:tr w:rsidR="005127EA" w:rsidRPr="00CF2AFE" w:rsidTr="00944EB4">
        <w:tc>
          <w:tcPr>
            <w:tcW w:w="1806" w:type="dxa"/>
          </w:tcPr>
          <w:p w:rsidR="005127EA" w:rsidRPr="00CF2AFE" w:rsidRDefault="005127EA" w:rsidP="00944EB4">
            <w:pPr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З 01 січня 2024 року</w:t>
            </w:r>
          </w:p>
        </w:tc>
        <w:tc>
          <w:tcPr>
            <w:tcW w:w="1902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7665</w:t>
            </w:r>
          </w:p>
        </w:tc>
        <w:tc>
          <w:tcPr>
            <w:tcW w:w="2021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6.8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3411</w:t>
            </w:r>
          </w:p>
        </w:tc>
        <w:tc>
          <w:tcPr>
            <w:tcW w:w="1808" w:type="dxa"/>
          </w:tcPr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  <w:r w:rsidRPr="00CF2AFE">
              <w:rPr>
                <w:sz w:val="24"/>
                <w:szCs w:val="24"/>
                <w:lang w:val="uk-UA"/>
              </w:rPr>
              <w:t>6.8</w:t>
            </w:r>
          </w:p>
          <w:p w:rsidR="005127EA" w:rsidRPr="00CF2AFE" w:rsidRDefault="005127EA" w:rsidP="00944EB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127EA" w:rsidRDefault="005127EA" w:rsidP="005127EA">
      <w:pPr>
        <w:rPr>
          <w:sz w:val="24"/>
          <w:szCs w:val="24"/>
          <w:lang w:val="uk-UA"/>
        </w:rPr>
      </w:pPr>
    </w:p>
    <w:p w:rsidR="001F576E" w:rsidRPr="00CF2AFE" w:rsidRDefault="001F576E" w:rsidP="005127EA">
      <w:pPr>
        <w:rPr>
          <w:sz w:val="24"/>
          <w:szCs w:val="24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1559"/>
        <w:gridCol w:w="1559"/>
        <w:gridCol w:w="1559"/>
      </w:tblGrid>
      <w:tr w:rsidR="0055728A" w:rsidTr="00944EB4">
        <w:tc>
          <w:tcPr>
            <w:tcW w:w="4390" w:type="dxa"/>
          </w:tcPr>
          <w:p w:rsidR="0055728A" w:rsidRDefault="0055728A" w:rsidP="0055728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559" w:type="dxa"/>
          </w:tcPr>
          <w:p w:rsidR="0055728A" w:rsidRPr="00B72E11" w:rsidRDefault="0055728A" w:rsidP="00581F4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E1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59" w:type="dxa"/>
          </w:tcPr>
          <w:p w:rsidR="0055728A" w:rsidRPr="00B72E11" w:rsidRDefault="0055728A" w:rsidP="00581F4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E1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59" w:type="dxa"/>
          </w:tcPr>
          <w:p w:rsidR="0055728A" w:rsidRPr="00B72E11" w:rsidRDefault="0055728A" w:rsidP="00581F4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E1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2024</w:t>
            </w:r>
          </w:p>
        </w:tc>
      </w:tr>
      <w:tr w:rsidR="0055728A" w:rsidTr="00944EB4">
        <w:tc>
          <w:tcPr>
            <w:tcW w:w="4390" w:type="dxa"/>
          </w:tcPr>
          <w:p w:rsidR="0055728A" w:rsidRDefault="0055728A" w:rsidP="00944EB4">
            <w:pPr>
              <w:tabs>
                <w:tab w:val="left" w:pos="39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споживчих цін,</w:t>
            </w:r>
            <w:r w:rsidR="00581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(ІСЦ):</w:t>
            </w:r>
          </w:p>
          <w:p w:rsidR="00581F43" w:rsidRDefault="00330C27" w:rsidP="00944EB4">
            <w:pPr>
              <w:tabs>
                <w:tab w:val="left" w:pos="39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="00581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рудень до грудня попереднього року, відсотки</w:t>
            </w:r>
          </w:p>
        </w:tc>
        <w:tc>
          <w:tcPr>
            <w:tcW w:w="1559" w:type="dxa"/>
          </w:tcPr>
          <w:p w:rsidR="0055728A" w:rsidRDefault="00581F43" w:rsidP="00581F4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572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06,2</w:t>
            </w:r>
          </w:p>
        </w:tc>
        <w:tc>
          <w:tcPr>
            <w:tcW w:w="1559" w:type="dxa"/>
          </w:tcPr>
          <w:p w:rsidR="0055728A" w:rsidRDefault="0055728A" w:rsidP="00581F4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105,3</w:t>
            </w:r>
          </w:p>
        </w:tc>
        <w:tc>
          <w:tcPr>
            <w:tcW w:w="1559" w:type="dxa"/>
          </w:tcPr>
          <w:p w:rsidR="0055728A" w:rsidRDefault="0055728A" w:rsidP="00581F4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  <w:r w:rsidR="00497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  <w:p w:rsidR="00497327" w:rsidRDefault="00497327" w:rsidP="00581F4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70FD4" w:rsidRDefault="00CA1726" w:rsidP="0053070E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036190" w:rsidRPr="005221C9" w:rsidRDefault="00036190" w:rsidP="0053070E">
      <w:pPr>
        <w:tabs>
          <w:tab w:val="left" w:pos="394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01E79" w:rsidRPr="005221C9" w:rsidRDefault="00201E79" w:rsidP="008E4170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1C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VII.</w:t>
      </w:r>
      <w:r w:rsidR="00B227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21C9">
        <w:rPr>
          <w:rFonts w:ascii="Times New Roman" w:hAnsi="Times New Roman" w:cs="Times New Roman"/>
          <w:b/>
          <w:sz w:val="28"/>
          <w:szCs w:val="28"/>
          <w:lang w:val="uk-UA"/>
        </w:rPr>
        <w:t>Бюджет розвитку</w:t>
      </w:r>
    </w:p>
    <w:p w:rsidR="008E4170" w:rsidRPr="005221C9" w:rsidRDefault="00823D55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Показники</w:t>
      </w:r>
      <w:r w:rsidR="008E4170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 будуть плануватися виходячи з сум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об'єктів, що будуть виділятися </w:t>
      </w:r>
      <w:r w:rsidR="008E4170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8E4170" w:rsidRPr="005221C9">
        <w:rPr>
          <w:rFonts w:ascii="Times New Roman" w:hAnsi="Times New Roman" w:cs="Times New Roman"/>
          <w:sz w:val="24"/>
          <w:szCs w:val="24"/>
          <w:lang w:val="uk-UA"/>
        </w:rPr>
        <w:t>субвенції з Державного та обласного бюджетів.</w:t>
      </w:r>
    </w:p>
    <w:p w:rsidR="008E4170" w:rsidRPr="005221C9" w:rsidRDefault="008E4170" w:rsidP="008E4170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1C9">
        <w:rPr>
          <w:rFonts w:ascii="Times New Roman" w:hAnsi="Times New Roman" w:cs="Times New Roman"/>
          <w:b/>
          <w:sz w:val="28"/>
          <w:szCs w:val="28"/>
          <w:lang w:val="uk-UA"/>
        </w:rPr>
        <w:t>VIII.</w:t>
      </w:r>
      <w:r w:rsidR="00B227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21C9">
        <w:rPr>
          <w:rFonts w:ascii="Times New Roman" w:hAnsi="Times New Roman" w:cs="Times New Roman"/>
          <w:b/>
          <w:sz w:val="28"/>
          <w:szCs w:val="28"/>
          <w:lang w:val="uk-UA"/>
        </w:rPr>
        <w:t>Взаємовідносини бюджету з іншими бюджетами.</w:t>
      </w:r>
    </w:p>
    <w:p w:rsidR="00601F80" w:rsidRPr="005221C9" w:rsidRDefault="004779AE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Бюджет Саф'янівської сільської територіальної громади взаємодіє з бюджетами всіх рі</w:t>
      </w:r>
      <w:r w:rsidR="00995CE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внів щоб надати  соціально-економічний </w:t>
      </w:r>
      <w:r w:rsidR="006F2C0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розвиток, забезпечення стабільності, зниження ризиків при додержані  базових </w:t>
      </w:r>
      <w:r w:rsidR="001B7F60" w:rsidRPr="005221C9">
        <w:rPr>
          <w:rFonts w:ascii="Times New Roman" w:hAnsi="Times New Roman" w:cs="Times New Roman"/>
          <w:sz w:val="24"/>
          <w:szCs w:val="24"/>
          <w:lang w:val="uk-UA"/>
        </w:rPr>
        <w:t>державних соціальних стандартів, державних соціальних гарантій</w:t>
      </w:r>
      <w:r w:rsidR="006F2777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24C2">
        <w:rPr>
          <w:rFonts w:ascii="Times New Roman" w:hAnsi="Times New Roman" w:cs="Times New Roman"/>
          <w:sz w:val="24"/>
          <w:szCs w:val="24"/>
          <w:lang w:val="uk-UA"/>
        </w:rPr>
        <w:t>врахованих граничних показників.</w:t>
      </w:r>
      <w:r w:rsidR="006F2777" w:rsidRPr="005221C9">
        <w:rPr>
          <w:rFonts w:ascii="Times New Roman" w:hAnsi="Times New Roman" w:cs="Times New Roman"/>
          <w:sz w:val="24"/>
          <w:szCs w:val="24"/>
          <w:lang w:val="uk-UA"/>
        </w:rPr>
        <w:t>(додаток11)</w:t>
      </w:r>
    </w:p>
    <w:p w:rsidR="004779AE" w:rsidRPr="005221C9" w:rsidRDefault="00601F80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779AE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державн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779AE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бюджет:</w:t>
      </w:r>
    </w:p>
    <w:p w:rsidR="000A1C15" w:rsidRPr="005221C9" w:rsidRDefault="000A1C15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До бюджету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селищної ради</w:t>
      </w:r>
      <w:r w:rsidR="005700C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779AE" w:rsidRPr="005221C9" w:rsidRDefault="004779AE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-2022</w:t>
      </w:r>
      <w:r w:rsidR="001B7F60" w:rsidRPr="005221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95CE8" w:rsidRPr="005221C9">
        <w:rPr>
          <w:rFonts w:ascii="Times New Roman" w:hAnsi="Times New Roman" w:cs="Times New Roman"/>
          <w:sz w:val="24"/>
          <w:szCs w:val="24"/>
          <w:lang w:val="uk-UA"/>
        </w:rPr>
        <w:t>212523,9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тис.грн;2023</w:t>
      </w:r>
      <w:r w:rsidR="001B7F60" w:rsidRPr="005221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95CE8" w:rsidRPr="005221C9">
        <w:rPr>
          <w:rFonts w:ascii="Times New Roman" w:hAnsi="Times New Roman" w:cs="Times New Roman"/>
          <w:sz w:val="24"/>
          <w:szCs w:val="24"/>
          <w:lang w:val="uk-UA"/>
        </w:rPr>
        <w:t>238879,3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тис.грн,2024</w:t>
      </w:r>
      <w:r w:rsidR="001B7F60" w:rsidRPr="005221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95CE8" w:rsidRPr="005221C9">
        <w:rPr>
          <w:rFonts w:ascii="Times New Roman" w:hAnsi="Times New Roman" w:cs="Times New Roman"/>
          <w:sz w:val="24"/>
          <w:szCs w:val="24"/>
          <w:lang w:val="uk-UA"/>
        </w:rPr>
        <w:t>264748,5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тис.грн;</w:t>
      </w:r>
    </w:p>
    <w:p w:rsidR="00601F80" w:rsidRPr="005221C9" w:rsidRDefault="00601F80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ІІ о</w:t>
      </w:r>
      <w:r w:rsidR="005700C2">
        <w:rPr>
          <w:rFonts w:ascii="Times New Roman" w:hAnsi="Times New Roman" w:cs="Times New Roman"/>
          <w:sz w:val="24"/>
          <w:szCs w:val="24"/>
          <w:lang w:val="uk-UA"/>
        </w:rPr>
        <w:t>бласний бюджет Одеської області: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1F80" w:rsidRPr="005221C9" w:rsidRDefault="00601F80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Виділення субвенції та визначення граничних</w:t>
      </w:r>
      <w:r w:rsidR="009D069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сум буде вирішуватись відповідно до рішення Одеської обласної ради та</w:t>
      </w:r>
      <w:r w:rsidR="006F2777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Саф</w:t>
      </w:r>
      <w:r w:rsidR="006F2777" w:rsidRPr="005221C9">
        <w:rPr>
          <w:rFonts w:ascii="Calibri" w:hAnsi="Calibri" w:cs="Calibri"/>
          <w:sz w:val="24"/>
          <w:szCs w:val="24"/>
          <w:lang w:val="uk-UA"/>
        </w:rPr>
        <w:t>'</w:t>
      </w:r>
      <w:r w:rsidR="006F2777"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ради а також</w:t>
      </w:r>
      <w:r w:rsidR="009D0698" w:rsidRPr="005221C9">
        <w:rPr>
          <w:rFonts w:ascii="Times New Roman" w:hAnsi="Times New Roman" w:cs="Times New Roman"/>
          <w:sz w:val="24"/>
          <w:szCs w:val="24"/>
          <w:lang w:val="uk-UA"/>
        </w:rPr>
        <w:t xml:space="preserve"> наданих об'єктів та пропозицій.</w:t>
      </w:r>
    </w:p>
    <w:p w:rsidR="009D0698" w:rsidRPr="005221C9" w:rsidRDefault="009D0698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ІІІ бюджет Суворовської селищної ради</w:t>
      </w:r>
      <w:r w:rsidR="005700C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A1C15" w:rsidRPr="005221C9" w:rsidRDefault="000A1C15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До бюджету Саф</w:t>
      </w:r>
      <w:r w:rsidRPr="005221C9">
        <w:rPr>
          <w:rFonts w:ascii="Calibri" w:hAnsi="Calibri" w:cs="Calibri"/>
          <w:sz w:val="24"/>
          <w:szCs w:val="24"/>
          <w:lang w:val="uk-UA"/>
        </w:rPr>
        <w:t>'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янівської сільської ради</w:t>
      </w:r>
    </w:p>
    <w:p w:rsidR="009D0698" w:rsidRPr="005221C9" w:rsidRDefault="00995CE8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-2022</w:t>
      </w:r>
      <w:r w:rsidR="001B7F60" w:rsidRPr="005221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-2282 тис.грн, 2023</w:t>
      </w:r>
      <w:r w:rsidR="001B7F60" w:rsidRPr="005221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-2487,0тис.грн;2024</w:t>
      </w:r>
      <w:r w:rsidR="001B7F60" w:rsidRPr="005221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5221C9">
        <w:rPr>
          <w:rFonts w:ascii="Times New Roman" w:hAnsi="Times New Roman" w:cs="Times New Roman"/>
          <w:sz w:val="24"/>
          <w:szCs w:val="24"/>
          <w:lang w:val="uk-UA"/>
        </w:rPr>
        <w:t>-2714,3тис.грн.</w:t>
      </w:r>
    </w:p>
    <w:p w:rsidR="000A1C15" w:rsidRPr="005221C9" w:rsidRDefault="000A1C15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До бюджету Суворовської селищної ради</w:t>
      </w:r>
    </w:p>
    <w:p w:rsidR="000A1C15" w:rsidRDefault="000A1C15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1C9">
        <w:rPr>
          <w:rFonts w:ascii="Times New Roman" w:hAnsi="Times New Roman" w:cs="Times New Roman"/>
          <w:sz w:val="24"/>
          <w:szCs w:val="24"/>
          <w:lang w:val="uk-UA"/>
        </w:rPr>
        <w:t>-2022р.-3786,0тис.грн, 2023р.-4127,0тис.грн,2023р-4498тис.грн.</w:t>
      </w:r>
    </w:p>
    <w:p w:rsidR="003A5C5A" w:rsidRDefault="003A5C5A" w:rsidP="00A017DD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C5A" w:rsidRPr="003A5C5A" w:rsidRDefault="003A5C5A" w:rsidP="003A5C5A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5C5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A5C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5C5A">
        <w:rPr>
          <w:rFonts w:ascii="Times New Roman" w:hAnsi="Times New Roman" w:cs="Times New Roman"/>
          <w:b/>
          <w:sz w:val="24"/>
          <w:szCs w:val="24"/>
          <w:lang w:val="uk-UA"/>
        </w:rPr>
        <w:t>Інші положення та показники прогнозу бюджету</w:t>
      </w:r>
    </w:p>
    <w:p w:rsidR="003A5C5A" w:rsidRPr="003A5C5A" w:rsidRDefault="003A5C5A" w:rsidP="003A5C5A">
      <w:pPr>
        <w:tabs>
          <w:tab w:val="left" w:pos="394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Відсутні додатки до прогнозу №4,5,8</w:t>
      </w:r>
    </w:p>
    <w:p w:rsidR="00201E79" w:rsidRPr="005221C9" w:rsidRDefault="00201E79" w:rsidP="0053070E">
      <w:pPr>
        <w:tabs>
          <w:tab w:val="left" w:pos="39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221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4" w:name="_GoBack"/>
      <w:bookmarkEnd w:id="4"/>
    </w:p>
    <w:sectPr w:rsidR="00201E79" w:rsidRPr="005221C9" w:rsidSect="00B1537E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907" w:rsidRDefault="009C0907" w:rsidP="00D86EFF">
      <w:pPr>
        <w:spacing w:after="0" w:line="240" w:lineRule="auto"/>
      </w:pPr>
      <w:r>
        <w:separator/>
      </w:r>
    </w:p>
  </w:endnote>
  <w:endnote w:type="continuationSeparator" w:id="0">
    <w:p w:rsidR="009C0907" w:rsidRDefault="009C0907" w:rsidP="00D8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907" w:rsidRDefault="009C0907" w:rsidP="00D86EFF">
      <w:pPr>
        <w:spacing w:after="0" w:line="240" w:lineRule="auto"/>
      </w:pPr>
      <w:r>
        <w:separator/>
      </w:r>
    </w:p>
  </w:footnote>
  <w:footnote w:type="continuationSeparator" w:id="0">
    <w:p w:rsidR="009C0907" w:rsidRDefault="009C0907" w:rsidP="00D86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368C0"/>
    <w:multiLevelType w:val="hybridMultilevel"/>
    <w:tmpl w:val="7F242E68"/>
    <w:lvl w:ilvl="0" w:tplc="3AECEBD2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1EA60ACB"/>
    <w:multiLevelType w:val="hybridMultilevel"/>
    <w:tmpl w:val="71926060"/>
    <w:lvl w:ilvl="0" w:tplc="A99C4FC4">
      <w:numFmt w:val="bullet"/>
      <w:lvlText w:val="-"/>
      <w:lvlJc w:val="left"/>
      <w:pPr>
        <w:ind w:left="185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uk-UA" w:eastAsia="en-US" w:bidi="ar-SA"/>
      </w:rPr>
    </w:lvl>
    <w:lvl w:ilvl="1" w:tplc="97204934">
      <w:numFmt w:val="bullet"/>
      <w:lvlText w:val="•"/>
      <w:lvlJc w:val="left"/>
      <w:pPr>
        <w:ind w:left="1196" w:hanging="185"/>
      </w:pPr>
      <w:rPr>
        <w:lang w:val="uk-UA" w:eastAsia="en-US" w:bidi="ar-SA"/>
      </w:rPr>
    </w:lvl>
    <w:lvl w:ilvl="2" w:tplc="D13C6BB6">
      <w:numFmt w:val="bullet"/>
      <w:lvlText w:val="•"/>
      <w:lvlJc w:val="left"/>
      <w:pPr>
        <w:ind w:left="2173" w:hanging="185"/>
      </w:pPr>
      <w:rPr>
        <w:lang w:val="uk-UA" w:eastAsia="en-US" w:bidi="ar-SA"/>
      </w:rPr>
    </w:lvl>
    <w:lvl w:ilvl="3" w:tplc="A7782AAA">
      <w:numFmt w:val="bullet"/>
      <w:lvlText w:val="•"/>
      <w:lvlJc w:val="left"/>
      <w:pPr>
        <w:ind w:left="3149" w:hanging="185"/>
      </w:pPr>
      <w:rPr>
        <w:lang w:val="uk-UA" w:eastAsia="en-US" w:bidi="ar-SA"/>
      </w:rPr>
    </w:lvl>
    <w:lvl w:ilvl="4" w:tplc="40149596">
      <w:numFmt w:val="bullet"/>
      <w:lvlText w:val="•"/>
      <w:lvlJc w:val="left"/>
      <w:pPr>
        <w:ind w:left="4126" w:hanging="185"/>
      </w:pPr>
      <w:rPr>
        <w:lang w:val="uk-UA" w:eastAsia="en-US" w:bidi="ar-SA"/>
      </w:rPr>
    </w:lvl>
    <w:lvl w:ilvl="5" w:tplc="12A49854">
      <w:numFmt w:val="bullet"/>
      <w:lvlText w:val="•"/>
      <w:lvlJc w:val="left"/>
      <w:pPr>
        <w:ind w:left="5103" w:hanging="185"/>
      </w:pPr>
      <w:rPr>
        <w:lang w:val="uk-UA" w:eastAsia="en-US" w:bidi="ar-SA"/>
      </w:rPr>
    </w:lvl>
    <w:lvl w:ilvl="6" w:tplc="427E3090">
      <w:numFmt w:val="bullet"/>
      <w:lvlText w:val="•"/>
      <w:lvlJc w:val="left"/>
      <w:pPr>
        <w:ind w:left="6079" w:hanging="185"/>
      </w:pPr>
      <w:rPr>
        <w:lang w:val="uk-UA" w:eastAsia="en-US" w:bidi="ar-SA"/>
      </w:rPr>
    </w:lvl>
    <w:lvl w:ilvl="7" w:tplc="93C0BA94">
      <w:numFmt w:val="bullet"/>
      <w:lvlText w:val="•"/>
      <w:lvlJc w:val="left"/>
      <w:pPr>
        <w:ind w:left="7056" w:hanging="185"/>
      </w:pPr>
      <w:rPr>
        <w:lang w:val="uk-UA" w:eastAsia="en-US" w:bidi="ar-SA"/>
      </w:rPr>
    </w:lvl>
    <w:lvl w:ilvl="8" w:tplc="3002477C">
      <w:numFmt w:val="bullet"/>
      <w:lvlText w:val="•"/>
      <w:lvlJc w:val="left"/>
      <w:pPr>
        <w:ind w:left="8033" w:hanging="185"/>
      </w:pPr>
      <w:rPr>
        <w:lang w:val="uk-UA" w:eastAsia="en-US" w:bidi="ar-SA"/>
      </w:rPr>
    </w:lvl>
  </w:abstractNum>
  <w:abstractNum w:abstractNumId="2">
    <w:nsid w:val="4030264F"/>
    <w:multiLevelType w:val="hybridMultilevel"/>
    <w:tmpl w:val="BFD03E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37A63"/>
    <w:multiLevelType w:val="hybridMultilevel"/>
    <w:tmpl w:val="15D291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0950B4"/>
    <w:multiLevelType w:val="hybridMultilevel"/>
    <w:tmpl w:val="01E89216"/>
    <w:lvl w:ilvl="0" w:tplc="BE6A986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572D2B"/>
    <w:multiLevelType w:val="hybridMultilevel"/>
    <w:tmpl w:val="E834BC80"/>
    <w:lvl w:ilvl="0" w:tplc="154EC182">
      <w:numFmt w:val="bullet"/>
      <w:lvlText w:val="-"/>
      <w:lvlJc w:val="left"/>
      <w:pPr>
        <w:ind w:left="2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uk-UA" w:eastAsia="en-US" w:bidi="ar-SA"/>
      </w:rPr>
    </w:lvl>
    <w:lvl w:ilvl="1" w:tplc="1944C6E4">
      <w:numFmt w:val="bullet"/>
      <w:lvlText w:val="•"/>
      <w:lvlJc w:val="left"/>
      <w:pPr>
        <w:ind w:left="1196" w:hanging="317"/>
      </w:pPr>
      <w:rPr>
        <w:lang w:val="uk-UA" w:eastAsia="en-US" w:bidi="ar-SA"/>
      </w:rPr>
    </w:lvl>
    <w:lvl w:ilvl="2" w:tplc="CF8CC7F4">
      <w:numFmt w:val="bullet"/>
      <w:lvlText w:val="•"/>
      <w:lvlJc w:val="left"/>
      <w:pPr>
        <w:ind w:left="2173" w:hanging="317"/>
      </w:pPr>
      <w:rPr>
        <w:lang w:val="uk-UA" w:eastAsia="en-US" w:bidi="ar-SA"/>
      </w:rPr>
    </w:lvl>
    <w:lvl w:ilvl="3" w:tplc="88D83986">
      <w:numFmt w:val="bullet"/>
      <w:lvlText w:val="•"/>
      <w:lvlJc w:val="left"/>
      <w:pPr>
        <w:ind w:left="3149" w:hanging="317"/>
      </w:pPr>
      <w:rPr>
        <w:lang w:val="uk-UA" w:eastAsia="en-US" w:bidi="ar-SA"/>
      </w:rPr>
    </w:lvl>
    <w:lvl w:ilvl="4" w:tplc="21C6F2CC">
      <w:numFmt w:val="bullet"/>
      <w:lvlText w:val="•"/>
      <w:lvlJc w:val="left"/>
      <w:pPr>
        <w:ind w:left="4126" w:hanging="317"/>
      </w:pPr>
      <w:rPr>
        <w:lang w:val="uk-UA" w:eastAsia="en-US" w:bidi="ar-SA"/>
      </w:rPr>
    </w:lvl>
    <w:lvl w:ilvl="5" w:tplc="07906C66">
      <w:numFmt w:val="bullet"/>
      <w:lvlText w:val="•"/>
      <w:lvlJc w:val="left"/>
      <w:pPr>
        <w:ind w:left="5103" w:hanging="317"/>
      </w:pPr>
      <w:rPr>
        <w:lang w:val="uk-UA" w:eastAsia="en-US" w:bidi="ar-SA"/>
      </w:rPr>
    </w:lvl>
    <w:lvl w:ilvl="6" w:tplc="0F548024">
      <w:numFmt w:val="bullet"/>
      <w:lvlText w:val="•"/>
      <w:lvlJc w:val="left"/>
      <w:pPr>
        <w:ind w:left="6079" w:hanging="317"/>
      </w:pPr>
      <w:rPr>
        <w:lang w:val="uk-UA" w:eastAsia="en-US" w:bidi="ar-SA"/>
      </w:rPr>
    </w:lvl>
    <w:lvl w:ilvl="7" w:tplc="61347AC6">
      <w:numFmt w:val="bullet"/>
      <w:lvlText w:val="•"/>
      <w:lvlJc w:val="left"/>
      <w:pPr>
        <w:ind w:left="7056" w:hanging="317"/>
      </w:pPr>
      <w:rPr>
        <w:lang w:val="uk-UA" w:eastAsia="en-US" w:bidi="ar-SA"/>
      </w:rPr>
    </w:lvl>
    <w:lvl w:ilvl="8" w:tplc="5C441CC6">
      <w:numFmt w:val="bullet"/>
      <w:lvlText w:val="•"/>
      <w:lvlJc w:val="left"/>
      <w:pPr>
        <w:ind w:left="8033" w:hanging="317"/>
      </w:pPr>
      <w:rPr>
        <w:lang w:val="uk-UA" w:eastAsia="en-US" w:bidi="ar-SA"/>
      </w:rPr>
    </w:lvl>
  </w:abstractNum>
  <w:abstractNum w:abstractNumId="6">
    <w:nsid w:val="6A285B6F"/>
    <w:multiLevelType w:val="hybridMultilevel"/>
    <w:tmpl w:val="076C2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9EA"/>
    <w:rsid w:val="00002AD5"/>
    <w:rsid w:val="00011E99"/>
    <w:rsid w:val="00036190"/>
    <w:rsid w:val="00044BC3"/>
    <w:rsid w:val="000513AD"/>
    <w:rsid w:val="00062EC4"/>
    <w:rsid w:val="000864C1"/>
    <w:rsid w:val="000A1C15"/>
    <w:rsid w:val="000A24EB"/>
    <w:rsid w:val="000B1E07"/>
    <w:rsid w:val="000C0D83"/>
    <w:rsid w:val="000C2F1A"/>
    <w:rsid w:val="000D146A"/>
    <w:rsid w:val="000E40A8"/>
    <w:rsid w:val="000F72ED"/>
    <w:rsid w:val="000F73B2"/>
    <w:rsid w:val="001048B5"/>
    <w:rsid w:val="00117632"/>
    <w:rsid w:val="00125BEC"/>
    <w:rsid w:val="00142BF7"/>
    <w:rsid w:val="001445D0"/>
    <w:rsid w:val="00161A5B"/>
    <w:rsid w:val="00167A0C"/>
    <w:rsid w:val="001757D4"/>
    <w:rsid w:val="00176508"/>
    <w:rsid w:val="001847D3"/>
    <w:rsid w:val="001B5218"/>
    <w:rsid w:val="001B7F60"/>
    <w:rsid w:val="001C0411"/>
    <w:rsid w:val="001C71C6"/>
    <w:rsid w:val="001D43CF"/>
    <w:rsid w:val="001E13E0"/>
    <w:rsid w:val="001E4313"/>
    <w:rsid w:val="001F576E"/>
    <w:rsid w:val="00201E79"/>
    <w:rsid w:val="00232DD1"/>
    <w:rsid w:val="002617A3"/>
    <w:rsid w:val="002739BC"/>
    <w:rsid w:val="002819FF"/>
    <w:rsid w:val="00281AEF"/>
    <w:rsid w:val="0028463D"/>
    <w:rsid w:val="00297331"/>
    <w:rsid w:val="002B3097"/>
    <w:rsid w:val="002B4B4F"/>
    <w:rsid w:val="002C543B"/>
    <w:rsid w:val="002D2EE2"/>
    <w:rsid w:val="002D6CAF"/>
    <w:rsid w:val="002F72EF"/>
    <w:rsid w:val="00301E8B"/>
    <w:rsid w:val="00330C27"/>
    <w:rsid w:val="003421D9"/>
    <w:rsid w:val="00360867"/>
    <w:rsid w:val="00385307"/>
    <w:rsid w:val="003928E9"/>
    <w:rsid w:val="00393309"/>
    <w:rsid w:val="003A0CE8"/>
    <w:rsid w:val="003A13A3"/>
    <w:rsid w:val="003A1BE4"/>
    <w:rsid w:val="003A3864"/>
    <w:rsid w:val="003A5C5A"/>
    <w:rsid w:val="003C2981"/>
    <w:rsid w:val="003E5BDF"/>
    <w:rsid w:val="003E7B32"/>
    <w:rsid w:val="00402001"/>
    <w:rsid w:val="00404D08"/>
    <w:rsid w:val="00410305"/>
    <w:rsid w:val="004569DE"/>
    <w:rsid w:val="00472548"/>
    <w:rsid w:val="004779AE"/>
    <w:rsid w:val="004900EB"/>
    <w:rsid w:val="004916C2"/>
    <w:rsid w:val="00494403"/>
    <w:rsid w:val="00497327"/>
    <w:rsid w:val="004D1920"/>
    <w:rsid w:val="004D2029"/>
    <w:rsid w:val="004D2DFA"/>
    <w:rsid w:val="004E6D64"/>
    <w:rsid w:val="005118BC"/>
    <w:rsid w:val="005127EA"/>
    <w:rsid w:val="00514879"/>
    <w:rsid w:val="00516555"/>
    <w:rsid w:val="005221C9"/>
    <w:rsid w:val="0053070E"/>
    <w:rsid w:val="00544AB3"/>
    <w:rsid w:val="00550360"/>
    <w:rsid w:val="0055728A"/>
    <w:rsid w:val="00563C06"/>
    <w:rsid w:val="005700C2"/>
    <w:rsid w:val="00581F43"/>
    <w:rsid w:val="005864DA"/>
    <w:rsid w:val="00587105"/>
    <w:rsid w:val="00592752"/>
    <w:rsid w:val="005A7A4C"/>
    <w:rsid w:val="005B4FE0"/>
    <w:rsid w:val="005B6790"/>
    <w:rsid w:val="005D7490"/>
    <w:rsid w:val="005E0078"/>
    <w:rsid w:val="005F461B"/>
    <w:rsid w:val="00601F80"/>
    <w:rsid w:val="00602DFA"/>
    <w:rsid w:val="00632897"/>
    <w:rsid w:val="0064174C"/>
    <w:rsid w:val="00647226"/>
    <w:rsid w:val="0065144C"/>
    <w:rsid w:val="006548E4"/>
    <w:rsid w:val="006567EF"/>
    <w:rsid w:val="00665F38"/>
    <w:rsid w:val="006669C4"/>
    <w:rsid w:val="00667C71"/>
    <w:rsid w:val="006A1F1B"/>
    <w:rsid w:val="006D7191"/>
    <w:rsid w:val="006E45A3"/>
    <w:rsid w:val="006F2777"/>
    <w:rsid w:val="006F2C08"/>
    <w:rsid w:val="00707F49"/>
    <w:rsid w:val="00721A90"/>
    <w:rsid w:val="00736567"/>
    <w:rsid w:val="00747AFF"/>
    <w:rsid w:val="007668EB"/>
    <w:rsid w:val="00773717"/>
    <w:rsid w:val="00787D83"/>
    <w:rsid w:val="00793909"/>
    <w:rsid w:val="007A46C0"/>
    <w:rsid w:val="007C7097"/>
    <w:rsid w:val="007D730F"/>
    <w:rsid w:val="008011E0"/>
    <w:rsid w:val="008224F7"/>
    <w:rsid w:val="00823D55"/>
    <w:rsid w:val="00823FA1"/>
    <w:rsid w:val="0082424D"/>
    <w:rsid w:val="00835232"/>
    <w:rsid w:val="008621DF"/>
    <w:rsid w:val="00874E5D"/>
    <w:rsid w:val="008940AE"/>
    <w:rsid w:val="008B19BF"/>
    <w:rsid w:val="008C05EB"/>
    <w:rsid w:val="008D1CA0"/>
    <w:rsid w:val="008E4170"/>
    <w:rsid w:val="009068D3"/>
    <w:rsid w:val="00913C9B"/>
    <w:rsid w:val="00927FAA"/>
    <w:rsid w:val="009323CF"/>
    <w:rsid w:val="00940E82"/>
    <w:rsid w:val="00944EB4"/>
    <w:rsid w:val="009455E3"/>
    <w:rsid w:val="009501FE"/>
    <w:rsid w:val="0096187E"/>
    <w:rsid w:val="00967D0D"/>
    <w:rsid w:val="00970FD4"/>
    <w:rsid w:val="00985575"/>
    <w:rsid w:val="00987954"/>
    <w:rsid w:val="00995CE8"/>
    <w:rsid w:val="009A36A2"/>
    <w:rsid w:val="009C0907"/>
    <w:rsid w:val="009D0698"/>
    <w:rsid w:val="009D2269"/>
    <w:rsid w:val="009F5082"/>
    <w:rsid w:val="009F6F8B"/>
    <w:rsid w:val="00A0026E"/>
    <w:rsid w:val="00A017DD"/>
    <w:rsid w:val="00A12630"/>
    <w:rsid w:val="00A20BD7"/>
    <w:rsid w:val="00A329F2"/>
    <w:rsid w:val="00A33539"/>
    <w:rsid w:val="00A411E3"/>
    <w:rsid w:val="00A545E4"/>
    <w:rsid w:val="00A825FA"/>
    <w:rsid w:val="00A90A4D"/>
    <w:rsid w:val="00AF585F"/>
    <w:rsid w:val="00B05BA7"/>
    <w:rsid w:val="00B119F1"/>
    <w:rsid w:val="00B1537E"/>
    <w:rsid w:val="00B16B84"/>
    <w:rsid w:val="00B22785"/>
    <w:rsid w:val="00B27CA4"/>
    <w:rsid w:val="00B43CE6"/>
    <w:rsid w:val="00B448B1"/>
    <w:rsid w:val="00B47882"/>
    <w:rsid w:val="00B57D07"/>
    <w:rsid w:val="00B60945"/>
    <w:rsid w:val="00B72E11"/>
    <w:rsid w:val="00B95228"/>
    <w:rsid w:val="00B97131"/>
    <w:rsid w:val="00B974DF"/>
    <w:rsid w:val="00BA0105"/>
    <w:rsid w:val="00BA317F"/>
    <w:rsid w:val="00BE4D7A"/>
    <w:rsid w:val="00BF7890"/>
    <w:rsid w:val="00C256DB"/>
    <w:rsid w:val="00C32969"/>
    <w:rsid w:val="00C36839"/>
    <w:rsid w:val="00C4552E"/>
    <w:rsid w:val="00C711E5"/>
    <w:rsid w:val="00C74945"/>
    <w:rsid w:val="00C917E4"/>
    <w:rsid w:val="00C92BB0"/>
    <w:rsid w:val="00CA1726"/>
    <w:rsid w:val="00CB534C"/>
    <w:rsid w:val="00CC0AFB"/>
    <w:rsid w:val="00CC5411"/>
    <w:rsid w:val="00CD416C"/>
    <w:rsid w:val="00CD42A4"/>
    <w:rsid w:val="00CD4CE3"/>
    <w:rsid w:val="00CD5F27"/>
    <w:rsid w:val="00CE229E"/>
    <w:rsid w:val="00D00586"/>
    <w:rsid w:val="00D0583B"/>
    <w:rsid w:val="00D25B2D"/>
    <w:rsid w:val="00D27B25"/>
    <w:rsid w:val="00D34B1C"/>
    <w:rsid w:val="00D51666"/>
    <w:rsid w:val="00D671E3"/>
    <w:rsid w:val="00D80253"/>
    <w:rsid w:val="00D86EFF"/>
    <w:rsid w:val="00DC29EA"/>
    <w:rsid w:val="00DF484E"/>
    <w:rsid w:val="00E05A8F"/>
    <w:rsid w:val="00E1489E"/>
    <w:rsid w:val="00E665E5"/>
    <w:rsid w:val="00E70ED8"/>
    <w:rsid w:val="00E935C6"/>
    <w:rsid w:val="00E96E62"/>
    <w:rsid w:val="00E97F0E"/>
    <w:rsid w:val="00EA471D"/>
    <w:rsid w:val="00EA572A"/>
    <w:rsid w:val="00EA640B"/>
    <w:rsid w:val="00EC24C2"/>
    <w:rsid w:val="00EC4E86"/>
    <w:rsid w:val="00ED6104"/>
    <w:rsid w:val="00EE3FFE"/>
    <w:rsid w:val="00F0542E"/>
    <w:rsid w:val="00F14866"/>
    <w:rsid w:val="00F157FF"/>
    <w:rsid w:val="00F16571"/>
    <w:rsid w:val="00F64815"/>
    <w:rsid w:val="00F65738"/>
    <w:rsid w:val="00F7301A"/>
    <w:rsid w:val="00F95562"/>
    <w:rsid w:val="00FA772A"/>
    <w:rsid w:val="00FB4DD6"/>
    <w:rsid w:val="00FB62BF"/>
    <w:rsid w:val="00FE3F93"/>
    <w:rsid w:val="00FE56DD"/>
    <w:rsid w:val="00FE6303"/>
    <w:rsid w:val="00FE632A"/>
    <w:rsid w:val="00FF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3BF30-8DFF-4533-A381-7C0D0FF9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F6F8B"/>
    <w:pPr>
      <w:ind w:left="720"/>
      <w:contextualSpacing/>
    </w:pPr>
    <w:rPr>
      <w:lang w:val="uk-UA"/>
    </w:rPr>
  </w:style>
  <w:style w:type="paragraph" w:styleId="a4">
    <w:name w:val="header"/>
    <w:basedOn w:val="a"/>
    <w:link w:val="a5"/>
    <w:uiPriority w:val="99"/>
    <w:unhideWhenUsed/>
    <w:rsid w:val="00D86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6EFF"/>
  </w:style>
  <w:style w:type="paragraph" w:styleId="a6">
    <w:name w:val="footer"/>
    <w:basedOn w:val="a"/>
    <w:link w:val="a7"/>
    <w:uiPriority w:val="99"/>
    <w:unhideWhenUsed/>
    <w:rsid w:val="00D86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6EFF"/>
  </w:style>
  <w:style w:type="table" w:styleId="a8">
    <w:name w:val="Table Grid"/>
    <w:basedOn w:val="a1"/>
    <w:uiPriority w:val="39"/>
    <w:rsid w:val="00117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985,baiaagaaboqcaaad9wuaaaufbgaaaaaaaaaaaaaaaaaaaaaaaaaaaaaaaaaaaaaaaaaaaaaaaaaaaaaaaaaaaaaaaaaaaaaaaaaaaaaaaaaaaaaaaaaaaaaaaaaaaaaaaaaaaaaaaaaaaaaaaaaaaaaaaaaaaaaaaaaaaaaaaaaaaaaaaaaaaaaaaaaaaaaaaaaaaaaaaaaaaaaaaaaaaaaaaaaaaaaaaaaaaaaa"/>
    <w:basedOn w:val="a0"/>
    <w:rsid w:val="00EE3FFE"/>
  </w:style>
  <w:style w:type="paragraph" w:styleId="a9">
    <w:name w:val="Balloon Text"/>
    <w:basedOn w:val="a"/>
    <w:link w:val="aa"/>
    <w:uiPriority w:val="99"/>
    <w:semiHidden/>
    <w:unhideWhenUsed/>
    <w:rsid w:val="00656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67EF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nhideWhenUsed/>
    <w:rsid w:val="009455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455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fin3\Desktop\&#1079;&#1077;&#1084;&#1083;&#1103;%20&#1076;&#1080;&#1072;&#1075;&#1088;&#1072;&#1084;&#1084;&#1072;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fin3\Desktop\&#1076;&#1080;&#1072;&#1075;&#1088;&#1072;&#1084;&#1084;&#1072;%20&#1087;&#1080;&#1090;&#1086;&#1084;&#1072;%20&#1074;&#1072;&#1075;&#1072;%20&#1085;&#1072;&#1076;&#1093;&#1086;&#1076;&#1078;&#1077;&#1085;&#1100;.xls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21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3175">
          <a:solidFill>
            <a:srgbClr val="000000"/>
          </a:solidFill>
          <a:prstDash val="solid"/>
        </a:ln>
      </c:spPr>
    </c:sideWall>
    <c:backWall>
      <c:thickness val="0"/>
      <c:spPr>
        <a:noFill/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42152527899219772"/>
          <c:y val="4.2682990369828935E-2"/>
          <c:w val="0.51868536102940643"/>
          <c:h val="0.83536709723808067"/>
        </c:manualLayout>
      </c:layout>
      <c:bar3DChart>
        <c:barDir val="bar"/>
        <c:grouping val="stack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FF99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FF99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'[земля диаграмма.xls]Лист1'!$A$1:$A$4</c:f>
              <c:strCache>
                <c:ptCount val="4"/>
                <c:pt idx="0">
                  <c:v>2021рік (125183,0тис.грн.)</c:v>
                </c:pt>
                <c:pt idx="1">
                  <c:v>2022рік (132370,6тис.грн.)</c:v>
                </c:pt>
                <c:pt idx="2">
                  <c:v>2023рік (138304,5тис.грн.)</c:v>
                </c:pt>
                <c:pt idx="3">
                  <c:v>2024рік (144542,4тис.грн.)</c:v>
                </c:pt>
              </c:strCache>
            </c:strRef>
          </c:cat>
          <c:val>
            <c:numRef>
              <c:f>'[земля диаграмма.xls]Лист1'!$B$1:$B$4</c:f>
              <c:numCache>
                <c:formatCode>General</c:formatCode>
                <c:ptCount val="4"/>
                <c:pt idx="0" formatCode="0.0">
                  <c:v>125183</c:v>
                </c:pt>
                <c:pt idx="1">
                  <c:v>132370.6</c:v>
                </c:pt>
                <c:pt idx="2">
                  <c:v>138304.5</c:v>
                </c:pt>
                <c:pt idx="3">
                  <c:v>144542.39999999999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91266768"/>
        <c:axId val="324369160"/>
        <c:axId val="0"/>
      </c:bar3DChart>
      <c:catAx>
        <c:axId val="2912667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243691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24369160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12667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8"/>
      <c:hPercent val="45"/>
      <c:rotY val="18"/>
      <c:depthPercent val="100"/>
      <c:rAngAx val="1"/>
    </c:view3D>
    <c:floor>
      <c:thickness val="0"/>
      <c:spPr>
        <a:solidFill>
          <a:srgbClr val="FFFFCC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9.2517129726203393E-2"/>
          <c:y val="1.06951871657754E-2"/>
          <c:w val="0.88707600855124435"/>
          <c:h val="0.71390374331550799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'[диаграмма питома вага надходжень.xls]Лист1'!$B$2:$B$6</c:f>
              <c:strCache>
                <c:ptCount val="5"/>
                <c:pt idx="0">
                  <c:v>Податок на доходи фізичних осіб</c:v>
                </c:pt>
                <c:pt idx="1">
                  <c:v>Плата за землю</c:v>
                </c:pt>
                <c:pt idx="2">
                  <c:v>Единий податок</c:v>
                </c:pt>
                <c:pt idx="3">
                  <c:v>Податок на нерухоме майно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'[диаграмма питома вага надходжень.xls]Лист1'!$C$2:$C$6</c:f>
              <c:numCache>
                <c:formatCode>0.0%</c:formatCode>
                <c:ptCount val="5"/>
                <c:pt idx="0">
                  <c:v>0.39100000000000001</c:v>
                </c:pt>
                <c:pt idx="1">
                  <c:v>0.35</c:v>
                </c:pt>
                <c:pt idx="2">
                  <c:v>0.223</c:v>
                </c:pt>
                <c:pt idx="3">
                  <c:v>0.02</c:v>
                </c:pt>
                <c:pt idx="4">
                  <c:v>1.6E-2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4367592"/>
        <c:axId val="324369552"/>
        <c:axId val="0"/>
      </c:bar3DChart>
      <c:catAx>
        <c:axId val="324367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243695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243695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24367592"/>
        <c:crosses val="autoZero"/>
        <c:crossBetween val="between"/>
      </c:valAx>
      <c:dTable>
        <c:showHorzBorder val="1"/>
        <c:showVertBorder val="1"/>
        <c:showOutline val="0"/>
        <c:showKeys val="0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dTable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</a:t>
            </a:r>
            <a:r>
              <a:rPr lang="ru-RU" baseline="0"/>
              <a:t> видаткової частини бюджету Саф</a:t>
            </a:r>
            <a:r>
              <a:rPr lang="ru-RU" baseline="0">
                <a:latin typeface="Calibri" panose="020F0502020204030204" pitchFamily="34" charset="0"/>
                <a:cs typeface="Calibri" panose="020F0502020204030204" pitchFamily="34" charset="0"/>
              </a:rPr>
              <a:t>'янівської  сільської теріторіальної громади на 2022 рік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тис.грн</c:v>
                </c:pt>
              </c:strCache>
            </c:strRef>
          </c:tx>
          <c:explosion val="4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Лист1!$A$2:$A$11</c:f>
              <c:strCache>
                <c:ptCount val="10"/>
                <c:pt idx="0">
                  <c:v>Державне управління-38239 тис.грн</c:v>
                </c:pt>
                <c:pt idx="1">
                  <c:v>Освіта-246415 тис.грн</c:v>
                </c:pt>
                <c:pt idx="2">
                  <c:v>Охорона здоров"я-10687,5тис.грн</c:v>
                </c:pt>
                <c:pt idx="3">
                  <c:v>Соціальний захист та соціальне забезпечення-7128тис.грн</c:v>
                </c:pt>
                <c:pt idx="4">
                  <c:v>Культура та мистецтво-21898тис.грн</c:v>
                </c:pt>
                <c:pt idx="5">
                  <c:v>Фізична культура  і спорт-8113тис.грн</c:v>
                </c:pt>
                <c:pt idx="6">
                  <c:v>Житлово-комунальне  господарство-10073тис.грн</c:v>
                </c:pt>
                <c:pt idx="7">
                  <c:v>Екрномічна діяльність-2770 тис.грн</c:v>
                </c:pt>
                <c:pt idx="8">
                  <c:v>Інша діяльність-4138,6тис.грн</c:v>
                </c:pt>
                <c:pt idx="9">
                  <c:v>Міжбюджетні трансферти-3886тис.грн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38239</c:v>
                </c:pt>
                <c:pt idx="1">
                  <c:v>246415</c:v>
                </c:pt>
                <c:pt idx="2">
                  <c:v>10687.5</c:v>
                </c:pt>
                <c:pt idx="3">
                  <c:v>7128</c:v>
                </c:pt>
                <c:pt idx="4">
                  <c:v>21898</c:v>
                </c:pt>
                <c:pt idx="5">
                  <c:v>8113</c:v>
                </c:pt>
                <c:pt idx="6">
                  <c:v>10073</c:v>
                </c:pt>
                <c:pt idx="7">
                  <c:v>2770</c:v>
                </c:pt>
                <c:pt idx="8">
                  <c:v>4138.6000000000004</c:v>
                </c:pt>
                <c:pt idx="9">
                  <c:v>3886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8111512102653823E-2"/>
          <c:y val="0.58057525867117854"/>
          <c:w val="0.578869386118402"/>
          <c:h val="0.402895815708986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9C168-D678-4DB4-BC27-E80B2A82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20</Pages>
  <Words>6220</Words>
  <Characters>35456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Windows User</cp:lastModifiedBy>
  <cp:revision>36</cp:revision>
  <cp:lastPrinted>2021-08-04T05:19:00Z</cp:lastPrinted>
  <dcterms:created xsi:type="dcterms:W3CDTF">2021-07-30T07:27:00Z</dcterms:created>
  <dcterms:modified xsi:type="dcterms:W3CDTF">2021-08-04T05:26:00Z</dcterms:modified>
</cp:coreProperties>
</file>